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771BB" w14:textId="0ADB6D77" w:rsidR="004C6767" w:rsidRPr="00166C0F" w:rsidRDefault="002569C5" w:rsidP="00166C0F">
      <w:pPr>
        <w:pStyle w:val="Heading1"/>
      </w:pPr>
      <w:r w:rsidRPr="00166C0F">
        <w:t>Guiding Principles for Restarting Field Research</w:t>
      </w:r>
    </w:p>
    <w:p w14:paraId="359CECF1" w14:textId="77777777" w:rsidR="00166C0F" w:rsidRDefault="00166C0F" w:rsidP="00166C0F"/>
    <w:p w14:paraId="6970BEFD" w14:textId="7A309A50" w:rsidR="00507C2C" w:rsidRPr="00166C0F" w:rsidRDefault="00E833F0" w:rsidP="00166C0F">
      <w:r w:rsidRPr="00166C0F">
        <w:t>This document outlines principles and guidelines for</w:t>
      </w:r>
      <w:r w:rsidR="00507C2C" w:rsidRPr="00166C0F">
        <w:t xml:space="preserve"> University of Arizona researchers planning to restart </w:t>
      </w:r>
      <w:r w:rsidRPr="00166C0F">
        <w:t>fieldwork or</w:t>
      </w:r>
      <w:r w:rsidR="00507C2C" w:rsidRPr="00166C0F">
        <w:t xml:space="preserve"> other</w:t>
      </w:r>
      <w:r w:rsidRPr="00166C0F">
        <w:t xml:space="preserve"> off-campus research</w:t>
      </w:r>
      <w:r w:rsidR="0098787D" w:rsidRPr="00166C0F">
        <w:t>. Its primary goal is to help</w:t>
      </w:r>
      <w:r w:rsidR="007F6177" w:rsidRPr="00166C0F">
        <w:t xml:space="preserve"> protect the health and safety of personnel, participants, and communities in light of the COVID-19 pandemic</w:t>
      </w:r>
      <w:r w:rsidR="002569C5" w:rsidRPr="00166C0F">
        <w:t>.</w:t>
      </w:r>
      <w:r w:rsidR="0061058E" w:rsidRPr="00166C0F">
        <w:t xml:space="preserve"> </w:t>
      </w:r>
    </w:p>
    <w:p w14:paraId="47E6CAA7" w14:textId="77777777" w:rsidR="00166C0F" w:rsidRDefault="00166C0F" w:rsidP="00166C0F"/>
    <w:p w14:paraId="26F17B76" w14:textId="303B9F8A" w:rsidR="002569C5" w:rsidRPr="00166C0F" w:rsidRDefault="0090335B" w:rsidP="00166C0F">
      <w:pPr>
        <w:pStyle w:val="Heading2"/>
      </w:pPr>
      <w:r w:rsidRPr="00166C0F">
        <w:t>Scope</w:t>
      </w:r>
      <w:r w:rsidR="00BC4654">
        <w:t xml:space="preserve"> </w:t>
      </w:r>
      <w:r w:rsidRPr="00166C0F">
        <w:t xml:space="preserve">of </w:t>
      </w:r>
      <w:r w:rsidR="002569C5" w:rsidRPr="00166C0F">
        <w:t>Field Research</w:t>
      </w:r>
      <w:r w:rsidR="005604A3" w:rsidRPr="00166C0F">
        <w:t xml:space="preserve"> Requiring</w:t>
      </w:r>
      <w:r w:rsidRPr="00166C0F">
        <w:t xml:space="preserve"> </w:t>
      </w:r>
      <w:r w:rsidR="005604A3" w:rsidRPr="00166C0F">
        <w:t>Restart</w:t>
      </w:r>
      <w:r w:rsidRPr="00166C0F">
        <w:t xml:space="preserve"> Plans and Approvals</w:t>
      </w:r>
    </w:p>
    <w:p w14:paraId="26BDECC7" w14:textId="77777777" w:rsidR="00166C0F" w:rsidRDefault="00166C0F" w:rsidP="00166C0F"/>
    <w:p w14:paraId="51EA1F96" w14:textId="00C70D1B" w:rsidR="005604A3" w:rsidRDefault="00245CC0" w:rsidP="00166C0F">
      <w:r w:rsidRPr="002569C5">
        <w:t xml:space="preserve">For purposes of research restart, RII </w:t>
      </w:r>
      <w:r w:rsidR="0098787D">
        <w:t>understands</w:t>
      </w:r>
      <w:r w:rsidR="0098787D" w:rsidRPr="002569C5">
        <w:t xml:space="preserve"> </w:t>
      </w:r>
      <w:r w:rsidR="00507C2C" w:rsidRPr="002569C5">
        <w:t>field research</w:t>
      </w:r>
      <w:r w:rsidRPr="002569C5">
        <w:t xml:space="preserve"> </w:t>
      </w:r>
      <w:r w:rsidR="0098787D">
        <w:t>to include</w:t>
      </w:r>
      <w:r w:rsidRPr="002569C5">
        <w:t xml:space="preserve"> </w:t>
      </w:r>
      <w:r w:rsidR="00507C2C" w:rsidRPr="002569C5">
        <w:rPr>
          <w:shd w:val="clear" w:color="auto" w:fill="FFFFFF"/>
        </w:rPr>
        <w:t>all research</w:t>
      </w:r>
      <w:r w:rsidR="0098787D">
        <w:rPr>
          <w:shd w:val="clear" w:color="auto" w:fill="FFFFFF"/>
        </w:rPr>
        <w:t>-related activities that take</w:t>
      </w:r>
      <w:r w:rsidR="00507C2C" w:rsidRPr="002569C5">
        <w:rPr>
          <w:shd w:val="clear" w:color="auto" w:fill="FFFFFF"/>
        </w:rPr>
        <w:t xml:space="preserve"> place off-campus, in settings that involve human co-location or interaction, or that require travel. This could include, but is not limited to, environmental and agricultural research at field stations, social science research in community settings, humanities research in off-campus archives, and creative productions in off-campus arts or related venues.</w:t>
      </w:r>
      <w:r w:rsidR="00E833F0" w:rsidRPr="002569C5">
        <w:t xml:space="preserve"> </w:t>
      </w:r>
    </w:p>
    <w:p w14:paraId="6F4E7523" w14:textId="77777777" w:rsidR="00CB1817" w:rsidRDefault="00CB1817" w:rsidP="00166C0F"/>
    <w:p w14:paraId="3F1B680E" w14:textId="2EB4D73F" w:rsidR="0090335B" w:rsidRDefault="005604A3" w:rsidP="00166C0F">
      <w:r>
        <w:t>Such research is in scope regardless of whether the researchers themselves are among those who will be co-located, interacting, or traveling as a result of the research (e.g.</w:t>
      </w:r>
      <w:r w:rsidR="00806C9F">
        <w:t>,</w:t>
      </w:r>
      <w:r>
        <w:t xml:space="preserve"> if a researcher remotely directs a study where participants are interacting in a community setting, or where art is being installed in a public area). </w:t>
      </w:r>
      <w:r w:rsidR="00BC4654">
        <w:t>R</w:t>
      </w:r>
      <w:r>
        <w:t>esearch that can be conducted fully remotely</w:t>
      </w:r>
      <w:r w:rsidR="0061058E">
        <w:t>, with no risk of research-related COVID-19 exposure to researchers, participants, or communities,</w:t>
      </w:r>
      <w:r>
        <w:t xml:space="preserve"> is exempt from requiring approval to restart.</w:t>
      </w:r>
    </w:p>
    <w:p w14:paraId="3D288F52" w14:textId="77777777" w:rsidR="00CB1817" w:rsidRDefault="00CB1817" w:rsidP="00CB1817"/>
    <w:p w14:paraId="7B381D5F" w14:textId="580F2098" w:rsidR="0090335B" w:rsidRDefault="00A72515" w:rsidP="00CB1817">
      <w:pPr>
        <w:pStyle w:val="Heading2"/>
      </w:pPr>
      <w:r>
        <w:t>Requirements for Restarting Field Research</w:t>
      </w:r>
    </w:p>
    <w:p w14:paraId="57623EF5" w14:textId="77777777" w:rsidR="00CB1817" w:rsidRDefault="00CB1817" w:rsidP="00166C0F"/>
    <w:p w14:paraId="3D66C576" w14:textId="43780157" w:rsidR="007F6177" w:rsidRDefault="00A72515" w:rsidP="00166C0F">
      <w:r>
        <w:t>This document augments</w:t>
      </w:r>
      <w:r w:rsidR="00806C9F">
        <w:t>,</w:t>
      </w:r>
      <w:r>
        <w:t xml:space="preserve"> but does not super</w:t>
      </w:r>
      <w:r w:rsidR="00806C9F">
        <w:t>s</w:t>
      </w:r>
      <w:r>
        <w:t>ede</w:t>
      </w:r>
      <w:r w:rsidR="00806C9F">
        <w:t>,</w:t>
      </w:r>
      <w:r>
        <w:t xml:space="preserve"> the Guiding Principles and Best Practices included in the </w:t>
      </w:r>
      <w:hyperlink r:id="rId11" w:history="1">
        <w:r w:rsidRPr="0061058E">
          <w:rPr>
            <w:rStyle w:val="Hyperlink"/>
          </w:rPr>
          <w:t>RII Research Restart Plan</w:t>
        </w:r>
      </w:hyperlink>
      <w:r>
        <w:t>.</w:t>
      </w:r>
      <w:r w:rsidR="0090335B">
        <w:t xml:space="preserve"> </w:t>
      </w:r>
      <w:r w:rsidR="006E496D" w:rsidRPr="0090335B">
        <w:t xml:space="preserve">Restart and/or ramp-up of all research requires </w:t>
      </w:r>
      <w:r w:rsidR="007F6177" w:rsidRPr="0090335B">
        <w:t xml:space="preserve">an approved RII </w:t>
      </w:r>
      <w:hyperlink r:id="rId12" w:history="1">
        <w:r w:rsidR="006E496D" w:rsidRPr="0090335B">
          <w:rPr>
            <w:rStyle w:val="Hyperlink"/>
          </w:rPr>
          <w:t xml:space="preserve">Research Re-Start </w:t>
        </w:r>
        <w:r w:rsidR="0098787D">
          <w:rPr>
            <w:rStyle w:val="Hyperlink"/>
          </w:rPr>
          <w:t>C</w:t>
        </w:r>
        <w:r w:rsidR="006E496D" w:rsidRPr="0090335B">
          <w:rPr>
            <w:rStyle w:val="Hyperlink"/>
          </w:rPr>
          <w:t>hecklist</w:t>
        </w:r>
      </w:hyperlink>
      <w:r w:rsidR="006E496D" w:rsidRPr="00A72515">
        <w:t>.</w:t>
      </w:r>
      <w:r w:rsidR="006E496D" w:rsidRPr="002569C5">
        <w:t xml:space="preserve"> Your </w:t>
      </w:r>
      <w:r w:rsidR="00F53F95">
        <w:t>c</w:t>
      </w:r>
      <w:r w:rsidR="006E496D" w:rsidRPr="002569C5">
        <w:t xml:space="preserve">ollege and </w:t>
      </w:r>
      <w:r w:rsidR="00F53F95">
        <w:t>d</w:t>
      </w:r>
      <w:r w:rsidR="006E496D" w:rsidRPr="002569C5">
        <w:t>epartment may require additional information</w:t>
      </w:r>
      <w:r w:rsidR="00245CC0" w:rsidRPr="002569C5">
        <w:t xml:space="preserve"> </w:t>
      </w:r>
      <w:r w:rsidR="00556747" w:rsidRPr="002569C5">
        <w:t xml:space="preserve">for </w:t>
      </w:r>
      <w:r w:rsidR="004656B3" w:rsidRPr="002569C5">
        <w:t>checklist approval</w:t>
      </w:r>
      <w:r w:rsidR="007F6177" w:rsidRPr="002569C5">
        <w:t>.</w:t>
      </w:r>
      <w:r w:rsidR="0061058E">
        <w:t xml:space="preserve"> Check with your Associate Dean for Research</w:t>
      </w:r>
      <w:r w:rsidR="00F53F95">
        <w:t xml:space="preserve">, </w:t>
      </w:r>
      <w:r w:rsidR="0061058E">
        <w:t>Department Head</w:t>
      </w:r>
      <w:r w:rsidR="00F53F95">
        <w:t>,</w:t>
      </w:r>
      <w:r w:rsidR="0061058E">
        <w:t xml:space="preserve"> or Director for guidance.</w:t>
      </w:r>
    </w:p>
    <w:p w14:paraId="5734372A" w14:textId="77777777" w:rsidR="00CB1817" w:rsidRDefault="00CB1817" w:rsidP="00CB1817"/>
    <w:p w14:paraId="0ADC2A60" w14:textId="15812CCA" w:rsidR="0090335B" w:rsidRDefault="0090335B" w:rsidP="00166C0F">
      <w:r w:rsidRPr="00166C0F">
        <w:t xml:space="preserve">An approved </w:t>
      </w:r>
      <w:r w:rsidR="00631E71" w:rsidRPr="00166C0F">
        <w:t xml:space="preserve">RII </w:t>
      </w:r>
      <w:r w:rsidRPr="00166C0F">
        <w:t>checklist is necessary</w:t>
      </w:r>
      <w:r w:rsidR="00F53F95">
        <w:t>,</w:t>
      </w:r>
      <w:r w:rsidRPr="00166C0F">
        <w:t xml:space="preserve"> but not </w:t>
      </w:r>
      <w:r w:rsidRPr="00E928E8">
        <w:t>necessarily sufficient for</w:t>
      </w:r>
      <w:r w:rsidR="00F53F95">
        <w:t>,</w:t>
      </w:r>
      <w:r w:rsidRPr="00E928E8">
        <w:t xml:space="preserve"> re-starting field research.</w:t>
      </w:r>
      <w:r w:rsidRPr="002569C5">
        <w:t xml:space="preserve"> If your research involves any of the following, further </w:t>
      </w:r>
      <w:r w:rsidR="00BC4654">
        <w:t xml:space="preserve">COVID-19 related </w:t>
      </w:r>
      <w:r>
        <w:t>guidance and approvals may apply:</w:t>
      </w:r>
      <w:r w:rsidRPr="002569C5">
        <w:t xml:space="preserve"> </w:t>
      </w:r>
    </w:p>
    <w:p w14:paraId="6B95FA59" w14:textId="50CEEFCB" w:rsidR="0090335B" w:rsidRPr="0090335B" w:rsidRDefault="0090335B" w:rsidP="00166C0F">
      <w:pPr>
        <w:pStyle w:val="ListParagraph"/>
        <w:numPr>
          <w:ilvl w:val="0"/>
          <w:numId w:val="33"/>
        </w:numPr>
      </w:pPr>
      <w:r w:rsidRPr="00E928E8">
        <w:t>Human subjects research (</w:t>
      </w:r>
      <w:r w:rsidRPr="0090335B">
        <w:t xml:space="preserve">see </w:t>
      </w:r>
      <w:hyperlink r:id="rId13" w:anchor="collapse-252" w:history="1">
        <w:r w:rsidRPr="0090335B">
          <w:rPr>
            <w:rStyle w:val="Hyperlink"/>
          </w:rPr>
          <w:t>RII Guidance on Resuming Human Studies</w:t>
        </w:r>
      </w:hyperlink>
      <w:r w:rsidRPr="0090335B">
        <w:t>)</w:t>
      </w:r>
    </w:p>
    <w:p w14:paraId="66BC96B8" w14:textId="77777777" w:rsidR="00BC4654" w:rsidRDefault="00631E71" w:rsidP="00BC4654">
      <w:pPr>
        <w:pStyle w:val="ListParagraph"/>
        <w:numPr>
          <w:ilvl w:val="0"/>
          <w:numId w:val="33"/>
        </w:numPr>
      </w:pPr>
      <w:r>
        <w:t>Activities</w:t>
      </w:r>
      <w:r w:rsidRPr="002569C5">
        <w:t xml:space="preserve"> </w:t>
      </w:r>
      <w:r w:rsidR="0090335B" w:rsidRPr="002569C5">
        <w:t xml:space="preserve">with Native Nations (guidance in process) </w:t>
      </w:r>
    </w:p>
    <w:p w14:paraId="5DBAA709" w14:textId="08D17686" w:rsidR="00631E71" w:rsidRPr="002569C5" w:rsidRDefault="0090335B" w:rsidP="00BC4654">
      <w:pPr>
        <w:pStyle w:val="ListParagraph"/>
        <w:numPr>
          <w:ilvl w:val="0"/>
          <w:numId w:val="33"/>
        </w:numPr>
      </w:pPr>
      <w:r w:rsidRPr="002569C5">
        <w:t>Out-of-state travel (guidance in process</w:t>
      </w:r>
      <w:r>
        <w:t>)</w:t>
      </w:r>
    </w:p>
    <w:p w14:paraId="7D8CE8DC" w14:textId="11F7C100" w:rsidR="0090335B" w:rsidRPr="00E928E8" w:rsidRDefault="00631E71" w:rsidP="00166C0F">
      <w:pPr>
        <w:pStyle w:val="ListParagraph"/>
        <w:numPr>
          <w:ilvl w:val="0"/>
          <w:numId w:val="33"/>
        </w:numPr>
      </w:pPr>
      <w:r>
        <w:t xml:space="preserve">Activities requiring </w:t>
      </w:r>
      <w:hyperlink r:id="rId14" w:history="1">
        <w:r w:rsidRPr="00631E71">
          <w:rPr>
            <w:rStyle w:val="Hyperlink"/>
          </w:rPr>
          <w:t>Assumption of Risk and Release Agreements</w:t>
        </w:r>
      </w:hyperlink>
    </w:p>
    <w:p w14:paraId="2817670C" w14:textId="67A9FE0A" w:rsidR="0090335B" w:rsidRDefault="00631E71" w:rsidP="00166C0F">
      <w:pPr>
        <w:pStyle w:val="ListParagraph"/>
        <w:numPr>
          <w:ilvl w:val="0"/>
          <w:numId w:val="33"/>
        </w:numPr>
      </w:pPr>
      <w:r>
        <w:t>Activities</w:t>
      </w:r>
      <w:r w:rsidRPr="002569C5">
        <w:t xml:space="preserve"> </w:t>
      </w:r>
      <w:r w:rsidR="0090335B" w:rsidRPr="002569C5">
        <w:t>requiring authorizations/permits from external entities (guidance in process)</w:t>
      </w:r>
    </w:p>
    <w:p w14:paraId="229FDD6F" w14:textId="77777777" w:rsidR="00631E71" w:rsidRDefault="00631E71" w:rsidP="00166C0F">
      <w:pPr>
        <w:pStyle w:val="ListParagraph"/>
      </w:pPr>
    </w:p>
    <w:p w14:paraId="4A4EE19D" w14:textId="2F701B15" w:rsidR="00631E71" w:rsidRPr="00631E71" w:rsidRDefault="00E928E8" w:rsidP="00166C0F">
      <w:pPr>
        <w:pStyle w:val="Heading2"/>
      </w:pPr>
      <w:r>
        <w:t xml:space="preserve">General </w:t>
      </w:r>
      <w:r w:rsidR="00631E71">
        <w:t>Considerations when Restarting Field Research</w:t>
      </w:r>
    </w:p>
    <w:p w14:paraId="2ECA9B43" w14:textId="77777777" w:rsidR="00631E71" w:rsidRDefault="00631E71" w:rsidP="00166C0F"/>
    <w:p w14:paraId="2FB1522C" w14:textId="57BFED3E" w:rsidR="00631E71" w:rsidRDefault="00631E71" w:rsidP="00166C0F">
      <w:r w:rsidRPr="002569C5">
        <w:t>Researchers are expected to develop written plans</w:t>
      </w:r>
      <w:r>
        <w:t xml:space="preserve"> </w:t>
      </w:r>
      <w:r w:rsidRPr="002569C5">
        <w:t>aligned with their responses to the checklist</w:t>
      </w:r>
      <w:r>
        <w:t xml:space="preserve"> and related approvals</w:t>
      </w:r>
      <w:r w:rsidRPr="002569C5">
        <w:t>. The present document provides additional guidance on developing such plans for common scenarios in field research.</w:t>
      </w:r>
    </w:p>
    <w:p w14:paraId="58415D54" w14:textId="77777777" w:rsidR="00631E71" w:rsidRDefault="00631E71" w:rsidP="00166C0F"/>
    <w:p w14:paraId="03783D87" w14:textId="1AB3D7E6" w:rsidR="0073323B" w:rsidRPr="002569C5" w:rsidRDefault="007F6177" w:rsidP="00166C0F">
      <w:r w:rsidRPr="008B4D7F">
        <w:rPr>
          <w:bCs/>
        </w:rPr>
        <w:t>F</w:t>
      </w:r>
      <w:r w:rsidR="0073323B" w:rsidRPr="002569C5">
        <w:t xml:space="preserve">ield research must meet the core requirements </w:t>
      </w:r>
      <w:r w:rsidRPr="002569C5">
        <w:t xml:space="preserve">of </w:t>
      </w:r>
      <w:r w:rsidR="00631E71" w:rsidRPr="002569C5">
        <w:t>the</w:t>
      </w:r>
      <w:r w:rsidR="00631E71">
        <w:t xml:space="preserve"> RII</w:t>
      </w:r>
      <w:r w:rsidR="0098787D">
        <w:t xml:space="preserve"> Research Restart C</w:t>
      </w:r>
      <w:r w:rsidR="0073323B" w:rsidRPr="002569C5">
        <w:t>hecklist</w:t>
      </w:r>
      <w:r w:rsidR="00245CC0" w:rsidRPr="002569C5">
        <w:t>.</w:t>
      </w:r>
      <w:r w:rsidR="00631E71">
        <w:t xml:space="preserve"> </w:t>
      </w:r>
      <w:r w:rsidR="00245CC0" w:rsidRPr="002569C5">
        <w:t xml:space="preserve">Field researchers </w:t>
      </w:r>
      <w:r w:rsidR="00BC4654">
        <w:t xml:space="preserve">also </w:t>
      </w:r>
      <w:r w:rsidR="00245CC0" w:rsidRPr="002569C5">
        <w:t xml:space="preserve">have additional responsibilities </w:t>
      </w:r>
      <w:r w:rsidR="0098787D">
        <w:t>specific</w:t>
      </w:r>
      <w:r w:rsidR="0098787D" w:rsidRPr="002569C5">
        <w:t xml:space="preserve"> </w:t>
      </w:r>
      <w:r w:rsidR="00245CC0" w:rsidRPr="002569C5">
        <w:t xml:space="preserve">to their contexts. As per the </w:t>
      </w:r>
      <w:r w:rsidR="0061058E">
        <w:t xml:space="preserve">RII </w:t>
      </w:r>
      <w:r w:rsidR="00BC4654">
        <w:t>C</w:t>
      </w:r>
      <w:r w:rsidR="00245CC0" w:rsidRPr="002569C5">
        <w:t>hecklist, these include:</w:t>
      </w:r>
    </w:p>
    <w:p w14:paraId="082D269D" w14:textId="2A87ED26" w:rsidR="00245CC0" w:rsidRPr="00166C0F" w:rsidRDefault="00245CC0" w:rsidP="00166C0F">
      <w:pPr>
        <w:pStyle w:val="ListParagraph"/>
        <w:numPr>
          <w:ilvl w:val="0"/>
          <w:numId w:val="46"/>
        </w:numPr>
      </w:pPr>
      <w:r w:rsidRPr="00166C0F">
        <w:t>Assessed local conditions related to infection, hospitalization, and community spread, and adapted protocols accordingly</w:t>
      </w:r>
      <w:r w:rsidR="00F53F95">
        <w:t>;</w:t>
      </w:r>
    </w:p>
    <w:p w14:paraId="6BAB10DF" w14:textId="414A95BA" w:rsidR="00E928E8" w:rsidRPr="00166C0F" w:rsidRDefault="00245CC0" w:rsidP="00166C0F">
      <w:pPr>
        <w:pStyle w:val="ListParagraph"/>
        <w:numPr>
          <w:ilvl w:val="0"/>
          <w:numId w:val="46"/>
        </w:numPr>
      </w:pPr>
      <w:r w:rsidRPr="00166C0F">
        <w:t xml:space="preserve">Acknowledged and complied with up-to-date guidance from any and all relevant and site-specific state, local, and/or tribal authorities regarding access, travel restrictions, use of </w:t>
      </w:r>
      <w:r w:rsidRPr="00166C0F">
        <w:lastRenderedPageBreak/>
        <w:t>public spaces, and/or the use of face coverings</w:t>
      </w:r>
      <w:r w:rsidR="0098787D" w:rsidRPr="00166C0F">
        <w:t xml:space="preserve"> o</w:t>
      </w:r>
      <w:r w:rsidR="00F53F95">
        <w:t>r</w:t>
      </w:r>
      <w:r w:rsidR="0098787D" w:rsidRPr="00166C0F">
        <w:t xml:space="preserve"> other personal protective equipment (PPE)</w:t>
      </w:r>
      <w:r w:rsidR="00F53F95">
        <w:t>;</w:t>
      </w:r>
    </w:p>
    <w:p w14:paraId="74B203FD" w14:textId="655EE81F" w:rsidR="00E928E8" w:rsidRPr="00166C0F" w:rsidRDefault="00E928E8" w:rsidP="00166C0F">
      <w:pPr>
        <w:pStyle w:val="ListParagraph"/>
        <w:numPr>
          <w:ilvl w:val="0"/>
          <w:numId w:val="46"/>
        </w:numPr>
      </w:pPr>
      <w:r w:rsidRPr="00166C0F">
        <w:t>Collaborated with appropriate partners or contacts to align research protocols with partner needs, potential hazards, risks, and/or required restrictions prior to entering the facility or research setting</w:t>
      </w:r>
      <w:r w:rsidR="00F53F95">
        <w:t>;</w:t>
      </w:r>
    </w:p>
    <w:p w14:paraId="249B58C1" w14:textId="04FBC827" w:rsidR="00E928E8" w:rsidRPr="00166C0F" w:rsidRDefault="00E928E8" w:rsidP="00166C0F">
      <w:pPr>
        <w:pStyle w:val="ListParagraph"/>
        <w:numPr>
          <w:ilvl w:val="0"/>
          <w:numId w:val="46"/>
        </w:numPr>
      </w:pPr>
      <w:r w:rsidRPr="00166C0F">
        <w:t>Conducted, when feasible and safe to do so, onsite assessment of hazard</w:t>
      </w:r>
      <w:r w:rsidR="0098787D" w:rsidRPr="00166C0F">
        <w:t>s</w:t>
      </w:r>
      <w:r w:rsidRPr="00166C0F">
        <w:t xml:space="preserve"> and risks associated with research or meeting locations, including their preparedness for COVID-19</w:t>
      </w:r>
      <w:r w:rsidR="00F53F95">
        <w:t>;</w:t>
      </w:r>
    </w:p>
    <w:p w14:paraId="6BE3F4DE" w14:textId="4A3A404E" w:rsidR="00E928E8" w:rsidRPr="00166C0F" w:rsidRDefault="00E928E8" w:rsidP="00166C0F">
      <w:pPr>
        <w:pStyle w:val="ListParagraph"/>
        <w:numPr>
          <w:ilvl w:val="0"/>
          <w:numId w:val="46"/>
        </w:numPr>
      </w:pPr>
      <w:r w:rsidRPr="00166C0F">
        <w:t>Confirmed location and contact information of emergency services for all off-campus sites</w:t>
      </w:r>
      <w:r w:rsidR="00F53F95">
        <w:t>;</w:t>
      </w:r>
    </w:p>
    <w:p w14:paraId="7EA889BE" w14:textId="09C628A4" w:rsidR="00245CC0" w:rsidRPr="00166C0F" w:rsidRDefault="00631E71" w:rsidP="00166C0F">
      <w:pPr>
        <w:pStyle w:val="ListParagraph"/>
        <w:numPr>
          <w:ilvl w:val="0"/>
          <w:numId w:val="46"/>
        </w:numPr>
      </w:pPr>
      <w:r w:rsidRPr="00166C0F">
        <w:t>P</w:t>
      </w:r>
      <w:r w:rsidR="00245CC0" w:rsidRPr="00166C0F">
        <w:t xml:space="preserve">lanned for risks and requirements of travel. </w:t>
      </w:r>
    </w:p>
    <w:p w14:paraId="1211C5D7" w14:textId="68905B51" w:rsidR="00E928E8" w:rsidRDefault="00E928E8" w:rsidP="00166C0F"/>
    <w:p w14:paraId="28F50D60" w14:textId="37C1DCC2" w:rsidR="00E928E8" w:rsidRDefault="00E928E8" w:rsidP="00166C0F">
      <w:r>
        <w:t>Much field research entails</w:t>
      </w:r>
      <w:r w:rsidR="00F53F95">
        <w:t xml:space="preserve"> the</w:t>
      </w:r>
      <w:r>
        <w:t xml:space="preserve"> potential </w:t>
      </w:r>
      <w:r w:rsidR="00D0773C">
        <w:t>for</w:t>
      </w:r>
      <w:r>
        <w:t xml:space="preserve"> researchers, participants, and communities</w:t>
      </w:r>
      <w:r w:rsidR="00F53F95">
        <w:t xml:space="preserve"> to be exposed to COVID-19</w:t>
      </w:r>
      <w:r>
        <w:t xml:space="preserve">. </w:t>
      </w:r>
      <w:r w:rsidR="00BC4654">
        <w:t>Researchers</w:t>
      </w:r>
      <w:r>
        <w:t xml:space="preserve"> must take p</w:t>
      </w:r>
      <w:r w:rsidRPr="002569C5">
        <w:t xml:space="preserve">recautions to protect </w:t>
      </w:r>
      <w:r w:rsidR="00D0773C">
        <w:t>people</w:t>
      </w:r>
      <w:r w:rsidRPr="002569C5">
        <w:t xml:space="preserve"> from </w:t>
      </w:r>
      <w:r w:rsidR="00D0773C">
        <w:t xml:space="preserve">elevated risk of </w:t>
      </w:r>
      <w:r w:rsidRPr="002569C5">
        <w:t>exposure beyond what they would encounter in daily life.</w:t>
      </w:r>
      <w:r>
        <w:t xml:space="preserve"> </w:t>
      </w:r>
      <w:r w:rsidR="00D0773C">
        <w:t xml:space="preserve">Researchers must </w:t>
      </w:r>
      <w:r w:rsidR="00A142B3">
        <w:t xml:space="preserve">not </w:t>
      </w:r>
      <w:r w:rsidR="00D0773C">
        <w:t>exacerbate exi</w:t>
      </w:r>
      <w:r w:rsidR="00A142B3">
        <w:t>s</w:t>
      </w:r>
      <w:r w:rsidR="00D0773C">
        <w:t xml:space="preserve">ting inequities </w:t>
      </w:r>
      <w:r w:rsidR="00A142B3">
        <w:t>for</w:t>
      </w:r>
      <w:r w:rsidR="00D0773C">
        <w:t xml:space="preserve"> </w:t>
      </w:r>
      <w:r w:rsidR="00E55242">
        <w:t>vulnerable individuals and communities</w:t>
      </w:r>
      <w:r w:rsidR="00A142B3">
        <w:t xml:space="preserve"> facing unique challenges associated with the COVID-19 pandemic</w:t>
      </w:r>
      <w:r w:rsidR="00166C0F">
        <w:t>.</w:t>
      </w:r>
      <w:r w:rsidR="00A142B3">
        <w:t xml:space="preserve"> </w:t>
      </w:r>
      <w:r w:rsidR="00166C0F">
        <w:t>S</w:t>
      </w:r>
      <w:r w:rsidR="00E55242">
        <w:t xml:space="preserve">ee the </w:t>
      </w:r>
      <w:hyperlink r:id="rId15" w:history="1">
        <w:r w:rsidR="00E55242" w:rsidRPr="00A142B3">
          <w:rPr>
            <w:rStyle w:val="Hyperlink"/>
          </w:rPr>
          <w:t>AMA COVID-19 health equity resources site</w:t>
        </w:r>
      </w:hyperlink>
      <w:r w:rsidR="00166C0F">
        <w:t xml:space="preserve"> for further information and guidance.</w:t>
      </w:r>
    </w:p>
    <w:p w14:paraId="643EA55A" w14:textId="525A4D74" w:rsidR="00E928E8" w:rsidRDefault="00E928E8" w:rsidP="00166C0F"/>
    <w:p w14:paraId="5C0EDAAA" w14:textId="5930654F" w:rsidR="00E928E8" w:rsidRPr="00A142B3" w:rsidRDefault="00E928E8" w:rsidP="00166C0F">
      <w:r w:rsidRPr="00A142B3">
        <w:t xml:space="preserve">Such precautions are required whether </w:t>
      </w:r>
      <w:r w:rsidR="00F53F95">
        <w:t xml:space="preserve">or not </w:t>
      </w:r>
      <w:r w:rsidR="00A142B3">
        <w:t>those potentially affected by the work</w:t>
      </w:r>
      <w:r w:rsidRPr="00A142B3">
        <w:t xml:space="preserve"> are defined as “human subjects</w:t>
      </w:r>
      <w:r w:rsidR="00A142B3">
        <w:t>.</w:t>
      </w:r>
      <w:r w:rsidRPr="00A142B3">
        <w:t>” For work with human participants</w:t>
      </w:r>
      <w:r w:rsidR="00BC4654">
        <w:t xml:space="preserve"> not meeting</w:t>
      </w:r>
      <w:r w:rsidRPr="00A142B3">
        <w:t xml:space="preserve"> </w:t>
      </w:r>
      <w:hyperlink r:id="rId16" w:history="1">
        <w:r w:rsidRPr="006253E4">
          <w:rPr>
            <w:rStyle w:val="Hyperlink"/>
          </w:rPr>
          <w:t>IRB definitions of “research” or “human subjects”</w:t>
        </w:r>
      </w:hyperlink>
      <w:r w:rsidRPr="00166C0F">
        <w:t xml:space="preserve"> (e.g.</w:t>
      </w:r>
      <w:r w:rsidR="006D5167">
        <w:t>,</w:t>
      </w:r>
      <w:r w:rsidRPr="00166C0F">
        <w:t xml:space="preserve"> journalism, oral histor</w:t>
      </w:r>
      <w:r w:rsidR="00166C0F">
        <w:t>ies or interviews</w:t>
      </w:r>
      <w:r w:rsidRPr="00166C0F">
        <w:t xml:space="preserve">, legal research, program evaluation), researchers should develop protocols based on the closest analogous risk level from the </w:t>
      </w:r>
      <w:r w:rsidR="00166C0F">
        <w:t xml:space="preserve">IRB’s </w:t>
      </w:r>
      <w:r w:rsidRPr="00166C0F">
        <w:t xml:space="preserve">guidance on </w:t>
      </w:r>
      <w:hyperlink r:id="rId17" w:history="1">
        <w:r w:rsidRPr="006253E4">
          <w:rPr>
            <w:rStyle w:val="Hyperlink"/>
          </w:rPr>
          <w:t>Resuming Human Studies</w:t>
        </w:r>
      </w:hyperlink>
      <w:r w:rsidRPr="00166C0F">
        <w:t>.</w:t>
      </w:r>
    </w:p>
    <w:p w14:paraId="13251794" w14:textId="77777777" w:rsidR="00631E71" w:rsidRDefault="00631E71" w:rsidP="00166C0F"/>
    <w:p w14:paraId="02DF72A1" w14:textId="621C762F" w:rsidR="009E5BCA" w:rsidRDefault="007F6177" w:rsidP="00166C0F">
      <w:r w:rsidRPr="002569C5">
        <w:t xml:space="preserve">As field research varies widely, not all </w:t>
      </w:r>
      <w:r w:rsidR="00A142B3">
        <w:t>of the</w:t>
      </w:r>
      <w:r w:rsidR="00A142B3" w:rsidRPr="002569C5">
        <w:t xml:space="preserve"> </w:t>
      </w:r>
      <w:r w:rsidRPr="002569C5">
        <w:t>follow</w:t>
      </w:r>
      <w:r w:rsidR="00A142B3">
        <w:t>ing guidance</w:t>
      </w:r>
      <w:r w:rsidRPr="002569C5">
        <w:t xml:space="preserve"> may be applicable to a given project. </w:t>
      </w:r>
      <w:r w:rsidR="00EE1338">
        <w:t>Where safety recommendations below refer to “research personnel,” they should be adapted as appropriate to include all participants, no</w:t>
      </w:r>
      <w:r w:rsidR="006D5167">
        <w:t>t</w:t>
      </w:r>
      <w:r w:rsidR="00EE1338">
        <w:t xml:space="preserve"> only UA employees (i.e.</w:t>
      </w:r>
      <w:r w:rsidR="006D5167">
        <w:t>,</w:t>
      </w:r>
      <w:r w:rsidR="00EE1338">
        <w:t xml:space="preserve"> staff, students, collaborators from other institutions, enrolled participants, etc.). </w:t>
      </w:r>
      <w:r w:rsidR="00A142B3">
        <w:t>Safety protocols should be tailored to meet the spirit of the RII Research Restart plan</w:t>
      </w:r>
      <w:r w:rsidR="006D5167">
        <w:t>. Seeking a</w:t>
      </w:r>
      <w:r w:rsidR="00A142B3">
        <w:t>dditional guidance</w:t>
      </w:r>
      <w:r w:rsidR="00A142B3" w:rsidRPr="002569C5">
        <w:t xml:space="preserve"> </w:t>
      </w:r>
      <w:r w:rsidR="009E5BCA" w:rsidRPr="002569C5">
        <w:t xml:space="preserve">from </w:t>
      </w:r>
      <w:r w:rsidR="00A142B3">
        <w:t>Research Laboratory and Safety Services</w:t>
      </w:r>
      <w:r w:rsidR="0098787D">
        <w:t xml:space="preserve"> (RLSS) </w:t>
      </w:r>
      <w:r w:rsidR="009E5BCA" w:rsidRPr="002569C5">
        <w:t xml:space="preserve">and </w:t>
      </w:r>
      <w:r w:rsidR="00A142B3">
        <w:t>Risk Management</w:t>
      </w:r>
      <w:r w:rsidR="0098787D">
        <w:t xml:space="preserve"> Services (RMS)</w:t>
      </w:r>
      <w:r w:rsidR="009E5BCA" w:rsidRPr="002569C5">
        <w:t xml:space="preserve">, as well as </w:t>
      </w:r>
      <w:r w:rsidR="006D5167">
        <w:t xml:space="preserve">from </w:t>
      </w:r>
      <w:r w:rsidR="009E5BCA" w:rsidRPr="002569C5">
        <w:t>experts on your field setting</w:t>
      </w:r>
      <w:r w:rsidR="006D5167">
        <w:t>, may also be advisable</w:t>
      </w:r>
      <w:r w:rsidR="00A142B3">
        <w:t>.</w:t>
      </w:r>
    </w:p>
    <w:p w14:paraId="733313B3" w14:textId="517A0C73" w:rsidR="004656B3" w:rsidRPr="002569C5" w:rsidRDefault="004656B3" w:rsidP="00166C0F"/>
    <w:p w14:paraId="6F1C1E5F" w14:textId="102B1F5A" w:rsidR="004C6767" w:rsidRPr="00166C0F" w:rsidRDefault="00A142B3" w:rsidP="00166C0F">
      <w:pPr>
        <w:pStyle w:val="Heading2"/>
      </w:pPr>
      <w:r>
        <w:t xml:space="preserve">Personnel </w:t>
      </w:r>
      <w:r w:rsidR="0098787D">
        <w:t>M</w:t>
      </w:r>
      <w:r>
        <w:t>anagement</w:t>
      </w:r>
    </w:p>
    <w:p w14:paraId="0D68276E" w14:textId="77777777" w:rsidR="00166C0F" w:rsidRDefault="00166C0F" w:rsidP="00166C0F"/>
    <w:p w14:paraId="24C61887" w14:textId="7166BCDC" w:rsidR="004C6767" w:rsidRPr="00166C0F" w:rsidRDefault="004C6767" w:rsidP="00166C0F">
      <w:r w:rsidRPr="00166C0F">
        <w:t xml:space="preserve">Create a </w:t>
      </w:r>
      <w:r w:rsidR="00556747" w:rsidRPr="00166C0F">
        <w:t xml:space="preserve">written </w:t>
      </w:r>
      <w:r w:rsidRPr="00166C0F">
        <w:t>plan for interacting with individuals while in the fiel</w:t>
      </w:r>
      <w:r w:rsidR="00A142B3" w:rsidRPr="00166C0F">
        <w:t xml:space="preserve">d </w:t>
      </w:r>
      <w:r w:rsidR="00EE1338">
        <w:t>that</w:t>
      </w:r>
      <w:r w:rsidR="00A142B3" w:rsidRPr="00166C0F">
        <w:t xml:space="preserve"> will</w:t>
      </w:r>
      <w:r w:rsidR="00A142B3">
        <w:t>:</w:t>
      </w:r>
    </w:p>
    <w:p w14:paraId="5EA7A9D0" w14:textId="78EED5A4" w:rsidR="009C5423" w:rsidRPr="002569C5" w:rsidRDefault="00A142B3" w:rsidP="00166C0F">
      <w:pPr>
        <w:pStyle w:val="ListParagraph"/>
        <w:numPr>
          <w:ilvl w:val="0"/>
          <w:numId w:val="38"/>
        </w:numPr>
      </w:pPr>
      <w:r>
        <w:t>I</w:t>
      </w:r>
      <w:r w:rsidR="009C5423" w:rsidRPr="002569C5">
        <w:t xml:space="preserve">nclude contingencies </w:t>
      </w:r>
      <w:r w:rsidR="00A3398E">
        <w:t>if</w:t>
      </w:r>
      <w:r w:rsidR="009C5423" w:rsidRPr="002569C5">
        <w:t xml:space="preserve"> one or more </w:t>
      </w:r>
      <w:r w:rsidR="006D5167">
        <w:t>team members</w:t>
      </w:r>
      <w:r w:rsidR="006D5167" w:rsidRPr="002569C5">
        <w:t xml:space="preserve"> </w:t>
      </w:r>
      <w:r w:rsidR="009C5423" w:rsidRPr="002569C5">
        <w:t xml:space="preserve">become ill or are no longer willing to risk conducting the research. </w:t>
      </w:r>
    </w:p>
    <w:p w14:paraId="37BBAF7D" w14:textId="1C4D0659" w:rsidR="00996F6D" w:rsidRPr="002569C5" w:rsidRDefault="00996F6D" w:rsidP="00166C0F">
      <w:pPr>
        <w:pStyle w:val="ListParagraph"/>
        <w:numPr>
          <w:ilvl w:val="0"/>
          <w:numId w:val="38"/>
        </w:numPr>
      </w:pPr>
      <w:r w:rsidRPr="002569C5">
        <w:t xml:space="preserve">Minimize </w:t>
      </w:r>
      <w:r w:rsidR="006D5167">
        <w:t xml:space="preserve">the number of </w:t>
      </w:r>
      <w:r w:rsidR="00D22AD0" w:rsidRPr="002569C5">
        <w:t>research personnel i</w:t>
      </w:r>
      <w:r w:rsidRPr="002569C5">
        <w:t>nvolved</w:t>
      </w:r>
      <w:r w:rsidR="00BC4654">
        <w:t>. C</w:t>
      </w:r>
      <w:r w:rsidRPr="002569C5">
        <w:t xml:space="preserve">onduct </w:t>
      </w:r>
      <w:r w:rsidR="007C6388" w:rsidRPr="002569C5">
        <w:t xml:space="preserve">approved </w:t>
      </w:r>
      <w:r w:rsidRPr="002569C5">
        <w:t xml:space="preserve">field research with the fewest staff needed to complete the activity while ensuring safety. </w:t>
      </w:r>
      <w:r w:rsidR="00D22AD0" w:rsidRPr="002569C5">
        <w:t xml:space="preserve">Teams should develop a plan to check in regularly </w:t>
      </w:r>
      <w:r w:rsidR="0098787D">
        <w:t xml:space="preserve">with the project supervisor </w:t>
      </w:r>
      <w:r w:rsidR="00D22AD0" w:rsidRPr="002569C5">
        <w:t>and maintain frequent communication</w:t>
      </w:r>
      <w:r w:rsidR="0090110E">
        <w:t xml:space="preserve"> with each other</w:t>
      </w:r>
      <w:r w:rsidR="00D22AD0" w:rsidRPr="002569C5">
        <w:t>.</w:t>
      </w:r>
      <w:r w:rsidRPr="002569C5">
        <w:t xml:space="preserve"> </w:t>
      </w:r>
    </w:p>
    <w:p w14:paraId="5D8B3771" w14:textId="12822CF1" w:rsidR="003D50FE" w:rsidRDefault="003D50FE" w:rsidP="00166C0F">
      <w:pPr>
        <w:pStyle w:val="ListParagraph"/>
        <w:numPr>
          <w:ilvl w:val="0"/>
          <w:numId w:val="38"/>
        </w:numPr>
      </w:pPr>
      <w:r w:rsidRPr="002569C5">
        <w:t xml:space="preserve">Develop a means of </w:t>
      </w:r>
      <w:r w:rsidR="006D5167">
        <w:t>identifying</w:t>
      </w:r>
      <w:r w:rsidR="006D5167" w:rsidRPr="002569C5">
        <w:t xml:space="preserve"> </w:t>
      </w:r>
      <w:r w:rsidRPr="002569C5">
        <w:t xml:space="preserve">who is present at the field research space at any given time, preferably through an online sign-in tool to minimize touching items, and/or </w:t>
      </w:r>
      <w:r w:rsidR="006D5167">
        <w:t xml:space="preserve">by </w:t>
      </w:r>
      <w:r w:rsidRPr="002569C5">
        <w:t>employ</w:t>
      </w:r>
      <w:r w:rsidR="006D5167">
        <w:t>ing</w:t>
      </w:r>
      <w:r w:rsidRPr="002569C5">
        <w:t xml:space="preserve"> other mechanism</w:t>
      </w:r>
      <w:r w:rsidR="006D5167">
        <w:t>s</w:t>
      </w:r>
      <w:r w:rsidRPr="002569C5">
        <w:t xml:space="preserve"> </w:t>
      </w:r>
      <w:r w:rsidR="0098787D">
        <w:t>for</w:t>
      </w:r>
      <w:r w:rsidR="0098787D" w:rsidRPr="002569C5">
        <w:t xml:space="preserve"> </w:t>
      </w:r>
      <w:r w:rsidRPr="002569C5">
        <w:t>controlling the number of</w:t>
      </w:r>
      <w:r w:rsidR="006D5167">
        <w:t xml:space="preserve"> concurrently co-located </w:t>
      </w:r>
      <w:r w:rsidRPr="002569C5">
        <w:t>people.</w:t>
      </w:r>
    </w:p>
    <w:p w14:paraId="008E62D8" w14:textId="1D2175F4" w:rsidR="00EE1338" w:rsidRDefault="00EE1338" w:rsidP="00166C0F">
      <w:pPr>
        <w:pStyle w:val="ListParagraph"/>
        <w:numPr>
          <w:ilvl w:val="0"/>
          <w:numId w:val="38"/>
        </w:numPr>
      </w:pPr>
      <w:r>
        <w:t>Conduct daily wellness checks before entering field sites</w:t>
      </w:r>
      <w:r w:rsidR="006D5167">
        <w:t>.</w:t>
      </w:r>
      <w:r>
        <w:t xml:space="preserve"> </w:t>
      </w:r>
      <w:r w:rsidR="006D5167">
        <w:t>S</w:t>
      </w:r>
      <w:r>
        <w:t xml:space="preserve">ee </w:t>
      </w:r>
      <w:r w:rsidR="00A3398E">
        <w:t xml:space="preserve">the </w:t>
      </w:r>
      <w:r w:rsidR="006D5167">
        <w:t xml:space="preserve">Human Subjects Office’s </w:t>
      </w:r>
      <w:hyperlink r:id="rId18" w:history="1">
        <w:r w:rsidR="006D5167" w:rsidRPr="00A3398E">
          <w:rPr>
            <w:rStyle w:val="Hyperlink"/>
          </w:rPr>
          <w:t xml:space="preserve">Participant Wellness </w:t>
        </w:r>
        <w:r w:rsidR="006D5167">
          <w:rPr>
            <w:rStyle w:val="Hyperlink"/>
          </w:rPr>
          <w:t>Screen</w:t>
        </w:r>
      </w:hyperlink>
      <w:r w:rsidR="006D5167">
        <w:t xml:space="preserve"> </w:t>
      </w:r>
      <w:r w:rsidR="00A3398E">
        <w:t>handout for a model that</w:t>
      </w:r>
      <w:r>
        <w:t xml:space="preserve"> could be adapted for field settings. </w:t>
      </w:r>
    </w:p>
    <w:p w14:paraId="3155CD00" w14:textId="2DB9F346" w:rsidR="00EE1338" w:rsidRPr="00166C0F" w:rsidRDefault="00EE1338" w:rsidP="00166C0F">
      <w:pPr>
        <w:pStyle w:val="ListParagraph"/>
        <w:numPr>
          <w:ilvl w:val="0"/>
          <w:numId w:val="38"/>
        </w:numPr>
      </w:pPr>
      <w:r>
        <w:t xml:space="preserve">Maintain social distancing. </w:t>
      </w:r>
      <w:r w:rsidRPr="002569C5">
        <w:t xml:space="preserve">Depending on the research area/experiment, safety guidelines for </w:t>
      </w:r>
      <w:r w:rsidR="006D5167">
        <w:t>your</w:t>
      </w:r>
      <w:r w:rsidR="006D5167" w:rsidRPr="002569C5">
        <w:t xml:space="preserve"> </w:t>
      </w:r>
      <w:r w:rsidRPr="002569C5">
        <w:t>specific field research project may require more than one person to be present at a location at one time.</w:t>
      </w:r>
      <w:r w:rsidR="006D5167">
        <w:t xml:space="preserve"> </w:t>
      </w:r>
      <w:r w:rsidRPr="002569C5">
        <w:t xml:space="preserve">Individuals present should maintain at least a 6-foot separation. If such </w:t>
      </w:r>
      <w:r w:rsidRPr="002569C5">
        <w:lastRenderedPageBreak/>
        <w:t xml:space="preserve">distancing is not feasible, use </w:t>
      </w:r>
      <w:r w:rsidR="0090110E">
        <w:t>face</w:t>
      </w:r>
      <w:r w:rsidRPr="002569C5">
        <w:t xml:space="preserve"> coverings, PPE, and other safety protocols (consult with RLSS for advice </w:t>
      </w:r>
      <w:r w:rsidR="0098787D">
        <w:t>about</w:t>
      </w:r>
      <w:r w:rsidRPr="002569C5">
        <w:t xml:space="preserve"> your setting</w:t>
      </w:r>
      <w:r w:rsidR="0090110E">
        <w:t>).</w:t>
      </w:r>
    </w:p>
    <w:p w14:paraId="0B189553" w14:textId="24EE1C76" w:rsidR="003D50FE" w:rsidRPr="002569C5" w:rsidRDefault="003D50FE" w:rsidP="00166C0F">
      <w:pPr>
        <w:pStyle w:val="ListParagraph"/>
        <w:numPr>
          <w:ilvl w:val="0"/>
          <w:numId w:val="38"/>
        </w:numPr>
      </w:pPr>
      <w:r w:rsidRPr="002569C5">
        <w:t xml:space="preserve">When feasible, </w:t>
      </w:r>
      <w:r w:rsidR="00A142B3">
        <w:t xml:space="preserve">arrange </w:t>
      </w:r>
      <w:r w:rsidR="006D5167">
        <w:t xml:space="preserve">the </w:t>
      </w:r>
      <w:r w:rsidRPr="002569C5">
        <w:t xml:space="preserve">transfer of items </w:t>
      </w:r>
      <w:r w:rsidR="006D5167">
        <w:t xml:space="preserve">from one person to another </w:t>
      </w:r>
      <w:r w:rsidRPr="002569C5">
        <w:t xml:space="preserve">by leaving them in a designated area, as opposed to handing them over in person. The timing of these transfers should be closely coordinated to </w:t>
      </w:r>
      <w:r w:rsidR="0090110E">
        <w:t>reduce risk of contagion</w:t>
      </w:r>
      <w:r w:rsidRPr="002569C5">
        <w:t>, as well as to eliminate the potential for lost or unattended items.</w:t>
      </w:r>
    </w:p>
    <w:p w14:paraId="1BA96443" w14:textId="310AB9EB" w:rsidR="003D50FE" w:rsidRPr="002569C5" w:rsidRDefault="003D50FE" w:rsidP="00166C0F">
      <w:pPr>
        <w:pStyle w:val="ListParagraph"/>
        <w:numPr>
          <w:ilvl w:val="0"/>
          <w:numId w:val="38"/>
        </w:numPr>
      </w:pPr>
      <w:r w:rsidRPr="002569C5">
        <w:t>Use precautions when entering a restroom, shared use facility, or other common areas. Call out to assess occupancy or create an “occupied” door sign.</w:t>
      </w:r>
    </w:p>
    <w:p w14:paraId="69363D5B" w14:textId="596894B9" w:rsidR="00EE1338" w:rsidRDefault="00EE1338" w:rsidP="00166C0F">
      <w:pPr>
        <w:pStyle w:val="ListParagraph"/>
      </w:pPr>
    </w:p>
    <w:p w14:paraId="468A38D5" w14:textId="50F3B146" w:rsidR="004C6767" w:rsidRDefault="004C6767" w:rsidP="00166C0F">
      <w:pPr>
        <w:pStyle w:val="Heading2"/>
      </w:pPr>
      <w:r w:rsidRPr="002569C5">
        <w:t>PPE/Hygiene in Field Settings</w:t>
      </w:r>
    </w:p>
    <w:p w14:paraId="417F1FB6" w14:textId="77777777" w:rsidR="00CB1817" w:rsidRDefault="00CB1817" w:rsidP="00166C0F"/>
    <w:p w14:paraId="2FE4B581" w14:textId="6F1631BD" w:rsidR="00A142B3" w:rsidRPr="00166C0F" w:rsidRDefault="0098787D" w:rsidP="00166C0F">
      <w:r w:rsidRPr="00166C0F">
        <w:t>Research personnel must</w:t>
      </w:r>
      <w:r w:rsidR="00EE1338" w:rsidRPr="00166C0F">
        <w:t xml:space="preserve">: </w:t>
      </w:r>
    </w:p>
    <w:p w14:paraId="13D2A580" w14:textId="4EE7FF61" w:rsidR="002824C5" w:rsidRPr="002569C5" w:rsidRDefault="00EE1338" w:rsidP="00166C0F">
      <w:pPr>
        <w:pStyle w:val="ListParagraph"/>
        <w:numPr>
          <w:ilvl w:val="0"/>
          <w:numId w:val="5"/>
        </w:numPr>
      </w:pPr>
      <w:r>
        <w:t>Be</w:t>
      </w:r>
      <w:r w:rsidR="002824C5" w:rsidRPr="002569C5">
        <w:t xml:space="preserve"> provided </w:t>
      </w:r>
      <w:r>
        <w:t xml:space="preserve">with </w:t>
      </w:r>
      <w:r w:rsidR="002824C5" w:rsidRPr="002569C5">
        <w:t xml:space="preserve">cloth face coverings and instructions on </w:t>
      </w:r>
      <w:r w:rsidR="0098787D">
        <w:t xml:space="preserve">their use, </w:t>
      </w:r>
      <w:r w:rsidR="002824C5" w:rsidRPr="002569C5">
        <w:t>cleaning</w:t>
      </w:r>
      <w:r w:rsidR="0098787D">
        <w:t>,</w:t>
      </w:r>
      <w:r w:rsidR="002824C5" w:rsidRPr="002569C5">
        <w:t xml:space="preserve"> and maintenance. </w:t>
      </w:r>
    </w:p>
    <w:p w14:paraId="1323DA19" w14:textId="51B68C49" w:rsidR="002824C5" w:rsidRPr="002569C5" w:rsidRDefault="002824C5" w:rsidP="00166C0F">
      <w:pPr>
        <w:pStyle w:val="ListParagraph"/>
        <w:numPr>
          <w:ilvl w:val="0"/>
          <w:numId w:val="5"/>
        </w:numPr>
      </w:pPr>
      <w:r w:rsidRPr="002569C5">
        <w:t>Always wear cloth face covering</w:t>
      </w:r>
      <w:r w:rsidR="00EE1338">
        <w:t>s</w:t>
      </w:r>
      <w:r w:rsidRPr="002569C5">
        <w:t xml:space="preserve"> unless research procedures dictate heightened PPE requirements (e.g.</w:t>
      </w:r>
      <w:r w:rsidR="006D5167">
        <w:t>,</w:t>
      </w:r>
      <w:r w:rsidRPr="002569C5">
        <w:t xml:space="preserve"> eye protection when there is potential for splatter). When not wearing safety PPE, reapply provided face covering. Proper hand hygiene before and after using any face covering is critical.</w:t>
      </w:r>
    </w:p>
    <w:p w14:paraId="065F10C8" w14:textId="6330ADC6" w:rsidR="002824C5" w:rsidRPr="002569C5" w:rsidRDefault="002824C5" w:rsidP="00166C0F">
      <w:pPr>
        <w:pStyle w:val="ListParagraph"/>
        <w:numPr>
          <w:ilvl w:val="0"/>
          <w:numId w:val="5"/>
        </w:numPr>
      </w:pPr>
      <w:r w:rsidRPr="002569C5">
        <w:t>Consider footwear and clothing as possible transmission source</w:t>
      </w:r>
      <w:r w:rsidR="0098787D">
        <w:t>s</w:t>
      </w:r>
      <w:r w:rsidRPr="002569C5">
        <w:t>. Overclothes or coveralls to protect personal clothing</w:t>
      </w:r>
      <w:r w:rsidR="00A3398E">
        <w:t xml:space="preserve"> and shoes only worn in the field a</w:t>
      </w:r>
      <w:r w:rsidR="00A3398E" w:rsidRPr="002569C5">
        <w:t>re recommended</w:t>
      </w:r>
      <w:r w:rsidR="00A3398E">
        <w:t xml:space="preserve"> when feasible and appropriate. </w:t>
      </w:r>
    </w:p>
    <w:p w14:paraId="39D77B71" w14:textId="4DE0EA1F" w:rsidR="002824C5" w:rsidRPr="002569C5" w:rsidRDefault="002824C5" w:rsidP="00166C0F">
      <w:pPr>
        <w:pStyle w:val="ListParagraph"/>
        <w:numPr>
          <w:ilvl w:val="0"/>
          <w:numId w:val="5"/>
        </w:numPr>
      </w:pPr>
      <w:r w:rsidRPr="002569C5">
        <w:t xml:space="preserve">Wash hands with soap upon entering and before leaving the field location (this could </w:t>
      </w:r>
      <w:r w:rsidR="0098787D">
        <w:t>happen at</w:t>
      </w:r>
      <w:r w:rsidR="0098787D" w:rsidRPr="002569C5">
        <w:t xml:space="preserve"> </w:t>
      </w:r>
      <w:r w:rsidRPr="002569C5">
        <w:t>the transport vehicle)</w:t>
      </w:r>
      <w:r w:rsidR="006D5167">
        <w:t>,</w:t>
      </w:r>
      <w:r w:rsidRPr="002569C5">
        <w:t xml:space="preserve"> and wash them after touching shared accessory devices like phones</w:t>
      </w:r>
      <w:r w:rsidR="006D5167">
        <w:t xml:space="preserve">, tablets, and cameras. When using a phone, consider using the hands-free </w:t>
      </w:r>
      <w:r w:rsidRPr="002569C5">
        <w:t xml:space="preserve">speaker phone </w:t>
      </w:r>
      <w:r w:rsidR="006D5167">
        <w:t>mode</w:t>
      </w:r>
      <w:r w:rsidR="00A3398E">
        <w:t>.</w:t>
      </w:r>
    </w:p>
    <w:p w14:paraId="5CAE30EC" w14:textId="1AF2F0EC" w:rsidR="00980E34" w:rsidRPr="002569C5" w:rsidRDefault="00980E34" w:rsidP="00166C0F">
      <w:pPr>
        <w:pStyle w:val="ListParagraph"/>
        <w:numPr>
          <w:ilvl w:val="0"/>
          <w:numId w:val="5"/>
        </w:numPr>
      </w:pPr>
      <w:r w:rsidRPr="002569C5">
        <w:t xml:space="preserve">Develop a sanitation routine which includes decontamination </w:t>
      </w:r>
      <w:r w:rsidR="00166C0F">
        <w:t xml:space="preserve">with an EPA-registered disinfectant </w:t>
      </w:r>
      <w:r w:rsidR="0098787D">
        <w:t xml:space="preserve">before and </w:t>
      </w:r>
      <w:r w:rsidR="00BC4654">
        <w:t>after</w:t>
      </w:r>
      <w:r w:rsidR="0098787D">
        <w:t xml:space="preserve"> each use </w:t>
      </w:r>
      <w:r w:rsidR="00166C0F">
        <w:t>of items such as</w:t>
      </w:r>
      <w:r w:rsidR="002824C5" w:rsidRPr="002569C5">
        <w:t>:</w:t>
      </w:r>
      <w:r w:rsidRPr="002569C5">
        <w:t xml:space="preserve"> </w:t>
      </w:r>
      <w:r w:rsidR="002824C5" w:rsidRPr="002569C5">
        <w:t xml:space="preserve">high-touch surfaces </w:t>
      </w:r>
      <w:r w:rsidR="006D5167">
        <w:t>like</w:t>
      </w:r>
      <w:r w:rsidRPr="002569C5">
        <w:t xml:space="preserve"> door handles</w:t>
      </w:r>
      <w:r w:rsidR="00166C0F">
        <w:t xml:space="preserve">, </w:t>
      </w:r>
      <w:r w:rsidRPr="002569C5">
        <w:t>lock keypads</w:t>
      </w:r>
      <w:r w:rsidR="00166C0F">
        <w:t xml:space="preserve">, tables, chairs, </w:t>
      </w:r>
      <w:r w:rsidRPr="002569C5">
        <w:t>keyboards/mice</w:t>
      </w:r>
      <w:r w:rsidR="006D5167">
        <w:t xml:space="preserve">, </w:t>
      </w:r>
      <w:r w:rsidRPr="002569C5">
        <w:t>desks for shared computers</w:t>
      </w:r>
      <w:r w:rsidR="006D5167">
        <w:t xml:space="preserve">, </w:t>
      </w:r>
      <w:r w:rsidRPr="002569C5">
        <w:t>telephones, printer</w:t>
      </w:r>
      <w:r w:rsidR="00166C0F">
        <w:t>s</w:t>
      </w:r>
      <w:r w:rsidRPr="002569C5">
        <w:t>,</w:t>
      </w:r>
      <w:r w:rsidR="00166C0F">
        <w:t xml:space="preserve"> scanners, </w:t>
      </w:r>
      <w:r w:rsidRPr="002569C5">
        <w:t xml:space="preserve">cameras, microscopes, </w:t>
      </w:r>
      <w:r w:rsidR="00166C0F">
        <w:t xml:space="preserve">equipment cases, </w:t>
      </w:r>
      <w:r w:rsidRPr="002569C5">
        <w:t>transport vehicles, etc</w:t>
      </w:r>
      <w:r w:rsidR="00166C0F">
        <w:t>. There should also be e</w:t>
      </w:r>
      <w:r w:rsidRPr="002569C5">
        <w:t xml:space="preserve">nhanced cleaning/disinfection </w:t>
      </w:r>
      <w:r w:rsidR="00166C0F">
        <w:t xml:space="preserve">protocols </w:t>
      </w:r>
      <w:r w:rsidRPr="002569C5">
        <w:t xml:space="preserve">for any shared bathrooms, kitchen facilities, </w:t>
      </w:r>
      <w:r w:rsidR="00166C0F">
        <w:t xml:space="preserve">dishes, </w:t>
      </w:r>
      <w:r w:rsidRPr="002569C5">
        <w:t xml:space="preserve">or </w:t>
      </w:r>
      <w:r w:rsidR="00166C0F">
        <w:t xml:space="preserve">other </w:t>
      </w:r>
      <w:r w:rsidRPr="002569C5">
        <w:t>shared equipment.</w:t>
      </w:r>
    </w:p>
    <w:p w14:paraId="4DBD599A" w14:textId="766B89F3" w:rsidR="002824C5" w:rsidRPr="002569C5" w:rsidRDefault="002824C5" w:rsidP="00166C0F">
      <w:pPr>
        <w:pStyle w:val="ListParagraph"/>
        <w:numPr>
          <w:ilvl w:val="0"/>
          <w:numId w:val="5"/>
        </w:numPr>
      </w:pPr>
      <w:r w:rsidRPr="002569C5">
        <w:t>Minimize shared items (</w:t>
      </w:r>
      <w:r w:rsidR="00166C0F">
        <w:t>e.g.</w:t>
      </w:r>
      <w:r w:rsidR="004E7EBD">
        <w:t>,</w:t>
      </w:r>
      <w:r w:rsidR="00166C0F">
        <w:t xml:space="preserve"> </w:t>
      </w:r>
      <w:r w:rsidRPr="002569C5">
        <w:t xml:space="preserve">pens, notebooks, frequently used reagent bottles, etc.). </w:t>
      </w:r>
    </w:p>
    <w:p w14:paraId="04E76EBE" w14:textId="6C8D95ED" w:rsidR="00980E34" w:rsidRPr="002569C5" w:rsidRDefault="00980E34" w:rsidP="00166C0F">
      <w:pPr>
        <w:pStyle w:val="ListParagraph"/>
        <w:numPr>
          <w:ilvl w:val="0"/>
          <w:numId w:val="5"/>
        </w:numPr>
      </w:pPr>
      <w:r w:rsidRPr="002569C5">
        <w:t>If it can be done safely, use paper towels or wipes when handling common field items, field equipment</w:t>
      </w:r>
      <w:r w:rsidR="002824C5" w:rsidRPr="002569C5">
        <w:t xml:space="preserve">, </w:t>
      </w:r>
      <w:r w:rsidRPr="002569C5">
        <w:t>door handle</w:t>
      </w:r>
      <w:r w:rsidR="002824C5" w:rsidRPr="002569C5">
        <w:t xml:space="preserve">s, faucets. </w:t>
      </w:r>
    </w:p>
    <w:p w14:paraId="715DCF5C" w14:textId="50DEA876" w:rsidR="00980E34" w:rsidRPr="002569C5" w:rsidRDefault="00980E34" w:rsidP="00166C0F">
      <w:pPr>
        <w:pStyle w:val="ListParagraph"/>
        <w:numPr>
          <w:ilvl w:val="0"/>
          <w:numId w:val="5"/>
        </w:numPr>
      </w:pPr>
      <w:r w:rsidRPr="002569C5">
        <w:t>Bring extra hand soap, hand sanitizer, and disinfectant wipes.</w:t>
      </w:r>
    </w:p>
    <w:p w14:paraId="3FB12D1C" w14:textId="386FC2B7" w:rsidR="004C6767" w:rsidRPr="002569C5" w:rsidRDefault="002824C5" w:rsidP="00166C0F">
      <w:pPr>
        <w:pStyle w:val="ListParagraph"/>
        <w:numPr>
          <w:ilvl w:val="0"/>
          <w:numId w:val="5"/>
        </w:numPr>
      </w:pPr>
      <w:r w:rsidRPr="002569C5">
        <w:t>Have a portable kit with instructions and supplies (e.g.</w:t>
      </w:r>
      <w:r w:rsidR="00166C0F">
        <w:t>,</w:t>
      </w:r>
      <w:r w:rsidRPr="002569C5">
        <w:t xml:space="preserve"> thermometer) needed for personnel or participant wellness screening. </w:t>
      </w:r>
    </w:p>
    <w:p w14:paraId="2951CAB1" w14:textId="77777777" w:rsidR="002824C5" w:rsidRPr="002569C5" w:rsidRDefault="002824C5" w:rsidP="00166C0F"/>
    <w:p w14:paraId="0E0E2B13" w14:textId="44F0734A" w:rsidR="004C6767" w:rsidRDefault="00DE6F76" w:rsidP="00166C0F">
      <w:pPr>
        <w:pStyle w:val="Heading2"/>
      </w:pPr>
      <w:r w:rsidRPr="00166C0F">
        <w:t xml:space="preserve">Emergency </w:t>
      </w:r>
      <w:r w:rsidR="00250DE5" w:rsidRPr="00166C0F">
        <w:t>Preparedness</w:t>
      </w:r>
    </w:p>
    <w:p w14:paraId="5783C67B" w14:textId="77777777" w:rsidR="00CB1817" w:rsidRPr="00CB1817" w:rsidRDefault="00CB1817" w:rsidP="00CB1817"/>
    <w:p w14:paraId="516A55AA" w14:textId="6C64B979" w:rsidR="002824C5" w:rsidRPr="002569C5" w:rsidRDefault="004C6767" w:rsidP="00BC4654">
      <w:pPr>
        <w:pStyle w:val="ListParagraph"/>
        <w:numPr>
          <w:ilvl w:val="0"/>
          <w:numId w:val="41"/>
        </w:numPr>
        <w:ind w:left="720"/>
      </w:pPr>
      <w:r w:rsidRPr="002569C5">
        <w:rPr>
          <w:b/>
          <w:bCs/>
        </w:rPr>
        <w:t>Emergency contacts:</w:t>
      </w:r>
      <w:r w:rsidRPr="002569C5">
        <w:t xml:space="preserve"> Emergency contacts are people at or near the fieldwork site who can reach you if necessary and who are familiar with your schedule. The </w:t>
      </w:r>
      <w:r w:rsidR="00166C0F">
        <w:t xml:space="preserve">emergency </w:t>
      </w:r>
      <w:r w:rsidRPr="002569C5">
        <w:t xml:space="preserve">contact should </w:t>
      </w:r>
      <w:r w:rsidR="00166C0F">
        <w:t xml:space="preserve">also </w:t>
      </w:r>
      <w:r w:rsidRPr="002569C5">
        <w:t xml:space="preserve">be informed of any medical conditions or allergies of the fieldworkers. </w:t>
      </w:r>
      <w:r w:rsidR="00A3398E">
        <w:t>Provide emergency contacts</w:t>
      </w:r>
      <w:r w:rsidRPr="002569C5">
        <w:t xml:space="preserve"> with information </w:t>
      </w:r>
      <w:r w:rsidR="00166C0F">
        <w:t>about</w:t>
      </w:r>
      <w:r w:rsidR="00166C0F" w:rsidRPr="002569C5">
        <w:t xml:space="preserve"> </w:t>
      </w:r>
      <w:r w:rsidRPr="002569C5">
        <w:t xml:space="preserve">who to contact if </w:t>
      </w:r>
      <w:r w:rsidR="00166C0F">
        <w:t xml:space="preserve">any of </w:t>
      </w:r>
      <w:r w:rsidRPr="002569C5">
        <w:t xml:space="preserve">the fieldworkers do not return or report in within a predetermined length of time. </w:t>
      </w:r>
    </w:p>
    <w:p w14:paraId="76B9CE8A" w14:textId="75115883" w:rsidR="002824C5" w:rsidRPr="002569C5" w:rsidRDefault="004C6767" w:rsidP="00BC4654">
      <w:pPr>
        <w:pStyle w:val="ListParagraph"/>
        <w:numPr>
          <w:ilvl w:val="0"/>
          <w:numId w:val="41"/>
        </w:numPr>
        <w:ind w:left="720"/>
      </w:pPr>
      <w:r w:rsidRPr="002569C5">
        <w:rPr>
          <w:b/>
          <w:bCs/>
        </w:rPr>
        <w:t>Emergency procedures:</w:t>
      </w:r>
      <w:r w:rsidRPr="002569C5">
        <w:t xml:space="preserve"> Emergency procedures are plans developed in advance regarding how to properly respond to adverse</w:t>
      </w:r>
      <w:r w:rsidR="002824C5" w:rsidRPr="002569C5">
        <w:t xml:space="preserve"> </w:t>
      </w:r>
      <w:r w:rsidRPr="002569C5">
        <w:t>situations. The fieldwork leader is responsible for organizing emergency procedures</w:t>
      </w:r>
      <w:r w:rsidR="00250DE5" w:rsidRPr="002569C5">
        <w:t xml:space="preserve">, including communication, evacuation </w:t>
      </w:r>
      <w:r w:rsidR="002824C5" w:rsidRPr="002569C5">
        <w:t xml:space="preserve">plans, </w:t>
      </w:r>
      <w:r w:rsidRPr="002569C5">
        <w:t>and ensuring</w:t>
      </w:r>
      <w:r w:rsidR="00166C0F">
        <w:t xml:space="preserve"> that</w:t>
      </w:r>
      <w:r w:rsidRPr="002569C5">
        <w:t xml:space="preserve"> all members of the group are aware of the arrangements. </w:t>
      </w:r>
      <w:r w:rsidR="002824C5" w:rsidRPr="002569C5">
        <w:t>Carry a written plan with you.</w:t>
      </w:r>
    </w:p>
    <w:p w14:paraId="1BB83141" w14:textId="007739BA" w:rsidR="00980E34" w:rsidRPr="002569C5" w:rsidRDefault="00980E34" w:rsidP="00BC4654">
      <w:pPr>
        <w:pStyle w:val="ListParagraph"/>
        <w:numPr>
          <w:ilvl w:val="0"/>
          <w:numId w:val="41"/>
        </w:numPr>
        <w:ind w:left="720"/>
      </w:pPr>
      <w:r w:rsidRPr="002569C5">
        <w:lastRenderedPageBreak/>
        <w:t>If a member of the field crew presents flu-like symptoms</w:t>
      </w:r>
      <w:r w:rsidR="00BC4654">
        <w:t>,</w:t>
      </w:r>
      <w:r w:rsidRPr="002569C5">
        <w:t xml:space="preserve"> the following steps are required: </w:t>
      </w:r>
    </w:p>
    <w:p w14:paraId="04464A75" w14:textId="4BADDD8F" w:rsidR="00980E34" w:rsidRPr="002569C5" w:rsidRDefault="00980E34" w:rsidP="00BC4654">
      <w:pPr>
        <w:pStyle w:val="ListParagraph"/>
        <w:numPr>
          <w:ilvl w:val="0"/>
          <w:numId w:val="42"/>
        </w:numPr>
        <w:ind w:left="1080"/>
      </w:pPr>
      <w:r w:rsidRPr="002569C5">
        <w:t xml:space="preserve">The individual must cease field work and self-quarantine. The PI should plan for </w:t>
      </w:r>
      <w:r w:rsidR="002824C5" w:rsidRPr="002569C5">
        <w:t>separate accommodation</w:t>
      </w:r>
      <w:r w:rsidRPr="002569C5">
        <w:t xml:space="preserve"> or other measures needed for quarantine.</w:t>
      </w:r>
    </w:p>
    <w:p w14:paraId="665D87E4" w14:textId="2F40563D" w:rsidR="00980E34" w:rsidRPr="002569C5" w:rsidRDefault="00980E34" w:rsidP="00BC4654">
      <w:pPr>
        <w:pStyle w:val="ListParagraph"/>
        <w:numPr>
          <w:ilvl w:val="0"/>
          <w:numId w:val="42"/>
        </w:numPr>
        <w:ind w:left="1080"/>
      </w:pPr>
      <w:r w:rsidRPr="002569C5">
        <w:t xml:space="preserve">The individual can return to </w:t>
      </w:r>
      <w:r w:rsidR="009E5BCA" w:rsidRPr="002569C5">
        <w:t xml:space="preserve">field </w:t>
      </w:r>
      <w:r w:rsidRPr="002569C5">
        <w:t xml:space="preserve">work if they test negative </w:t>
      </w:r>
      <w:bookmarkStart w:id="0" w:name="_GoBack"/>
      <w:r w:rsidR="00A3398E">
        <w:t>and</w:t>
      </w:r>
      <w:bookmarkEnd w:id="0"/>
      <w:r w:rsidR="00A3398E" w:rsidRPr="002569C5">
        <w:t xml:space="preserve"> </w:t>
      </w:r>
      <w:r w:rsidRPr="002569C5">
        <w:t xml:space="preserve">are fever free for at least 14 days. </w:t>
      </w:r>
    </w:p>
    <w:p w14:paraId="3FBD3314" w14:textId="5239413E" w:rsidR="009E5BCA" w:rsidRPr="002569C5" w:rsidRDefault="009E5BCA" w:rsidP="00BC4654">
      <w:pPr>
        <w:pStyle w:val="ListParagraph"/>
        <w:numPr>
          <w:ilvl w:val="0"/>
          <w:numId w:val="42"/>
        </w:numPr>
        <w:ind w:left="1080"/>
      </w:pPr>
      <w:r w:rsidRPr="002569C5">
        <w:t>Other personnel may continue their work</w:t>
      </w:r>
      <w:r w:rsidR="00EE1338">
        <w:t xml:space="preserve"> </w:t>
      </w:r>
      <w:r w:rsidRPr="002569C5">
        <w:t xml:space="preserve">but must make extra efforts to monitor wellness and maintain distance. </w:t>
      </w:r>
    </w:p>
    <w:p w14:paraId="3C491AB4" w14:textId="7213536E" w:rsidR="004C6767" w:rsidRPr="002569C5" w:rsidRDefault="004C6767" w:rsidP="00BC4654">
      <w:pPr>
        <w:pStyle w:val="ListParagraph"/>
        <w:numPr>
          <w:ilvl w:val="0"/>
          <w:numId w:val="40"/>
        </w:numPr>
        <w:ind w:left="720"/>
      </w:pPr>
      <w:r w:rsidRPr="002569C5">
        <w:rPr>
          <w:b/>
          <w:bCs/>
        </w:rPr>
        <w:t xml:space="preserve">Communication: </w:t>
      </w:r>
      <w:r w:rsidR="00A3398E">
        <w:t>Establish methods</w:t>
      </w:r>
      <w:r w:rsidRPr="002569C5">
        <w:t xml:space="preserve"> to ensure communication </w:t>
      </w:r>
      <w:r w:rsidR="00166C0F">
        <w:t xml:space="preserve">is maintained </w:t>
      </w:r>
      <w:r w:rsidRPr="002569C5">
        <w:t>within the group</w:t>
      </w:r>
      <w:r w:rsidR="00166C0F">
        <w:t>,</w:t>
      </w:r>
      <w:r w:rsidRPr="002569C5">
        <w:t xml:space="preserve"> and </w:t>
      </w:r>
      <w:r w:rsidR="00166C0F">
        <w:t>that contact with</w:t>
      </w:r>
      <w:r w:rsidR="00166C0F" w:rsidRPr="002569C5">
        <w:t xml:space="preserve"> </w:t>
      </w:r>
      <w:r w:rsidRPr="002569C5">
        <w:t>local emergency services</w:t>
      </w:r>
      <w:r w:rsidR="00166C0F">
        <w:t xml:space="preserve"> is possible if necessary</w:t>
      </w:r>
      <w:r w:rsidRPr="002569C5">
        <w:t xml:space="preserve">. </w:t>
      </w:r>
      <w:r w:rsidR="00A3398E">
        <w:t>Ongoing e</w:t>
      </w:r>
      <w:r w:rsidRPr="002569C5">
        <w:t xml:space="preserve">ffective communication allows fieldworkers to be forewarned of dangers </w:t>
      </w:r>
      <w:r w:rsidR="00C81F80">
        <w:t>and</w:t>
      </w:r>
      <w:r w:rsidRPr="002569C5">
        <w:t xml:space="preserve"> </w:t>
      </w:r>
      <w:r w:rsidR="00166C0F">
        <w:t>enabl</w:t>
      </w:r>
      <w:r w:rsidR="00C81F80">
        <w:t>es</w:t>
      </w:r>
      <w:r w:rsidR="00166C0F">
        <w:t xml:space="preserve"> rapid requests</w:t>
      </w:r>
      <w:r w:rsidR="00166C0F" w:rsidRPr="002569C5">
        <w:t xml:space="preserve"> </w:t>
      </w:r>
      <w:r w:rsidRPr="002569C5">
        <w:t>for help in an emergency. Communication mechanisms can include the followin</w:t>
      </w:r>
      <w:r w:rsidR="009E64BA" w:rsidRPr="002569C5">
        <w:t>g</w:t>
      </w:r>
      <w:r w:rsidRPr="002569C5">
        <w:t xml:space="preserve">: </w:t>
      </w:r>
    </w:p>
    <w:p w14:paraId="5B923C29" w14:textId="000D307A" w:rsidR="004C6767" w:rsidRPr="002569C5" w:rsidRDefault="004C6767" w:rsidP="00BC4654">
      <w:pPr>
        <w:pStyle w:val="ListParagraph"/>
        <w:numPr>
          <w:ilvl w:val="0"/>
          <w:numId w:val="1"/>
        </w:numPr>
        <w:ind w:left="1080"/>
      </w:pPr>
      <w:r w:rsidRPr="002569C5">
        <w:t>Verify your communication device (</w:t>
      </w:r>
      <w:r w:rsidR="00166C0F">
        <w:t xml:space="preserve">e.g., </w:t>
      </w:r>
      <w:r w:rsidRPr="002569C5">
        <w:t>cell phone, radio) functions at the work site.</w:t>
      </w:r>
    </w:p>
    <w:p w14:paraId="141AE9C2" w14:textId="77777777" w:rsidR="004C6767" w:rsidRPr="002569C5" w:rsidRDefault="004C6767" w:rsidP="00BC4654">
      <w:pPr>
        <w:pStyle w:val="ListParagraph"/>
        <w:numPr>
          <w:ilvl w:val="0"/>
          <w:numId w:val="1"/>
        </w:numPr>
        <w:ind w:left="1080"/>
      </w:pPr>
      <w:r w:rsidRPr="002569C5">
        <w:t xml:space="preserve">Establish a predetermined frequency of contact or “roll call” with all fieldworkers. </w:t>
      </w:r>
    </w:p>
    <w:p w14:paraId="2985831C" w14:textId="2359FB3A" w:rsidR="0089348A" w:rsidRPr="002569C5" w:rsidRDefault="0089348A" w:rsidP="00BC4654">
      <w:pPr>
        <w:pStyle w:val="ListParagraph"/>
        <w:numPr>
          <w:ilvl w:val="0"/>
          <w:numId w:val="1"/>
        </w:numPr>
        <w:ind w:left="1080"/>
      </w:pPr>
      <w:r w:rsidRPr="002569C5">
        <w:t xml:space="preserve">Establish a method to log daily activities, </w:t>
      </w:r>
      <w:r w:rsidR="00166C0F">
        <w:t>in case</w:t>
      </w:r>
      <w:r w:rsidR="00166C0F" w:rsidRPr="002569C5">
        <w:t xml:space="preserve"> </w:t>
      </w:r>
      <w:r w:rsidRPr="002569C5">
        <w:rPr>
          <w:color w:val="000000" w:themeColor="text1"/>
        </w:rPr>
        <w:t>contact</w:t>
      </w:r>
      <w:r w:rsidRPr="002569C5">
        <w:t xml:space="preserve"> tracing </w:t>
      </w:r>
      <w:r w:rsidR="00166C0F">
        <w:t>becomes</w:t>
      </w:r>
      <w:r w:rsidR="00166C0F" w:rsidRPr="002569C5">
        <w:t xml:space="preserve"> </w:t>
      </w:r>
      <w:r w:rsidRPr="002569C5">
        <w:t xml:space="preserve">necessary. </w:t>
      </w:r>
    </w:p>
    <w:p w14:paraId="59F233AF" w14:textId="639E45C1" w:rsidR="00980E34" w:rsidRPr="002569C5" w:rsidRDefault="00980E34" w:rsidP="00BC4654">
      <w:pPr>
        <w:pStyle w:val="ListParagraph"/>
        <w:numPr>
          <w:ilvl w:val="0"/>
          <w:numId w:val="1"/>
        </w:numPr>
        <w:ind w:left="1080"/>
      </w:pPr>
      <w:r w:rsidRPr="002569C5">
        <w:t>Always carry photo identification</w:t>
      </w:r>
      <w:r w:rsidR="0098787D">
        <w:t xml:space="preserve"> and insurance information</w:t>
      </w:r>
      <w:r w:rsidRPr="002569C5">
        <w:t xml:space="preserve"> in case of an accident or injury.</w:t>
      </w:r>
    </w:p>
    <w:p w14:paraId="2B8728B8" w14:textId="77777777" w:rsidR="00166C0F" w:rsidRDefault="00166C0F" w:rsidP="00166C0F"/>
    <w:p w14:paraId="557EADD2" w14:textId="75624C66" w:rsidR="002824C5" w:rsidRDefault="002824C5" w:rsidP="00166C0F">
      <w:pPr>
        <w:pStyle w:val="Heading2"/>
      </w:pPr>
      <w:r w:rsidRPr="002569C5">
        <w:t>Travel arrangements</w:t>
      </w:r>
    </w:p>
    <w:p w14:paraId="5719DE96" w14:textId="77777777" w:rsidR="00CB1817" w:rsidRPr="00CB1817" w:rsidRDefault="00CB1817" w:rsidP="00CB1817"/>
    <w:p w14:paraId="77DF3278" w14:textId="4D7FABCB" w:rsidR="002824C5" w:rsidRDefault="002824C5" w:rsidP="00BC4654">
      <w:pPr>
        <w:pStyle w:val="ListParagraph"/>
        <w:numPr>
          <w:ilvl w:val="0"/>
          <w:numId w:val="45"/>
        </w:numPr>
        <w:ind w:left="720"/>
      </w:pPr>
      <w:r w:rsidRPr="002569C5">
        <w:t>Field research activities, including travel, must be suspended in localities that have declared a shelter</w:t>
      </w:r>
      <w:r w:rsidR="009E5BCA" w:rsidRPr="002569C5">
        <w:t>-</w:t>
      </w:r>
      <w:r w:rsidRPr="002569C5">
        <w:t>in</w:t>
      </w:r>
      <w:r w:rsidR="009E5BCA" w:rsidRPr="002569C5">
        <w:t>-</w:t>
      </w:r>
      <w:r w:rsidRPr="002569C5">
        <w:t>place order in response to COVID-19 community spread.</w:t>
      </w:r>
    </w:p>
    <w:p w14:paraId="35EE6C4E" w14:textId="146D8504" w:rsidR="00A3398E" w:rsidRPr="002569C5" w:rsidRDefault="00A3398E" w:rsidP="00BC4654">
      <w:pPr>
        <w:pStyle w:val="ListParagraph"/>
        <w:numPr>
          <w:ilvl w:val="0"/>
          <w:numId w:val="45"/>
        </w:numPr>
        <w:ind w:left="720"/>
      </w:pPr>
      <w:r>
        <w:t>The number of trips to and from field sites should be minimized</w:t>
      </w:r>
      <w:r w:rsidR="008A7CB9">
        <w:t xml:space="preserve">, </w:t>
      </w:r>
      <w:r>
        <w:t xml:space="preserve">as each entry and exit entails </w:t>
      </w:r>
      <w:r w:rsidR="00C81F80">
        <w:t xml:space="preserve">an additional </w:t>
      </w:r>
      <w:r>
        <w:t>risk of researchers becoming vectors for contagion across communities</w:t>
      </w:r>
      <w:r w:rsidR="00C81F80">
        <w:t>.</w:t>
      </w:r>
    </w:p>
    <w:p w14:paraId="75CC6B54" w14:textId="4E07AC5E" w:rsidR="009E5BCA" w:rsidRPr="002569C5" w:rsidRDefault="002824C5" w:rsidP="00BC4654">
      <w:pPr>
        <w:pStyle w:val="ListParagraph"/>
        <w:numPr>
          <w:ilvl w:val="0"/>
          <w:numId w:val="45"/>
        </w:numPr>
        <w:ind w:left="720"/>
        <w:rPr>
          <w:b/>
          <w:u w:val="single"/>
        </w:rPr>
      </w:pPr>
      <w:r w:rsidRPr="002569C5">
        <w:t>If traveling out of</w:t>
      </w:r>
      <w:r w:rsidR="009E5BCA" w:rsidRPr="002569C5">
        <w:t xml:space="preserve"> </w:t>
      </w:r>
      <w:r w:rsidRPr="002569C5">
        <w:t>the State of Arizona</w:t>
      </w:r>
      <w:r w:rsidR="009E5BCA" w:rsidRPr="002569C5">
        <w:t xml:space="preserve"> or </w:t>
      </w:r>
      <w:r w:rsidRPr="002569C5">
        <w:t>to Native Nations</w:t>
      </w:r>
      <w:r w:rsidR="009E5BCA" w:rsidRPr="002569C5">
        <w:t xml:space="preserve">, research travel </w:t>
      </w:r>
      <w:r w:rsidRPr="002569C5">
        <w:t xml:space="preserve">approval must be granted by </w:t>
      </w:r>
      <w:r w:rsidR="009E5BCA" w:rsidRPr="002569C5">
        <w:t>the SVPR</w:t>
      </w:r>
      <w:r w:rsidR="00070BB0" w:rsidRPr="002569C5">
        <w:t xml:space="preserve"> (for domestic travel) or ITSOC (for international travel)</w:t>
      </w:r>
      <w:r w:rsidRPr="002569C5">
        <w:t xml:space="preserve">. </w:t>
      </w:r>
      <w:r w:rsidR="009E5BCA" w:rsidRPr="002569C5">
        <w:t xml:space="preserve">Approval will require a detailed travel-related </w:t>
      </w:r>
      <w:r w:rsidR="00A3398E">
        <w:t>COVID-19</w:t>
      </w:r>
      <w:r w:rsidR="00A3398E" w:rsidRPr="002569C5">
        <w:t xml:space="preserve"> </w:t>
      </w:r>
      <w:r w:rsidR="009E5BCA" w:rsidRPr="002569C5">
        <w:t xml:space="preserve">mitigation plan (guidance forthcoming). </w:t>
      </w:r>
    </w:p>
    <w:p w14:paraId="0996C17F" w14:textId="27DDC840" w:rsidR="009E5BCA" w:rsidRPr="002569C5" w:rsidRDefault="009E5BCA" w:rsidP="00BC4654">
      <w:pPr>
        <w:pStyle w:val="ListParagraph"/>
        <w:numPr>
          <w:ilvl w:val="0"/>
          <w:numId w:val="45"/>
        </w:numPr>
        <w:ind w:left="720"/>
        <w:rPr>
          <w:b/>
          <w:u w:val="single"/>
        </w:rPr>
      </w:pPr>
      <w:r w:rsidRPr="002569C5">
        <w:t xml:space="preserve">For all travel (including local/in-state): </w:t>
      </w:r>
    </w:p>
    <w:p w14:paraId="48A015FC" w14:textId="5E96E51D" w:rsidR="002824C5" w:rsidRPr="002569C5" w:rsidRDefault="002824C5" w:rsidP="00BC4654">
      <w:pPr>
        <w:pStyle w:val="ListParagraph"/>
        <w:numPr>
          <w:ilvl w:val="0"/>
          <w:numId w:val="43"/>
        </w:numPr>
        <w:ind w:left="1080"/>
        <w:rPr>
          <w:b/>
          <w:u w:val="single"/>
        </w:rPr>
      </w:pPr>
      <w:r w:rsidRPr="002569C5">
        <w:t xml:space="preserve"> </w:t>
      </w:r>
      <w:r w:rsidR="009E5BCA" w:rsidRPr="002569C5">
        <w:t>Investigate local ordinances and restrictions and plan for compliance prior to departure</w:t>
      </w:r>
      <w:r w:rsidR="00166C0F">
        <w:t>.</w:t>
      </w:r>
    </w:p>
    <w:p w14:paraId="40785012" w14:textId="55FD6F12" w:rsidR="002824C5" w:rsidRPr="002569C5" w:rsidRDefault="002824C5" w:rsidP="00BC4654">
      <w:pPr>
        <w:pStyle w:val="ListParagraph"/>
        <w:numPr>
          <w:ilvl w:val="0"/>
          <w:numId w:val="43"/>
        </w:numPr>
        <w:ind w:left="1080"/>
        <w:rPr>
          <w:b/>
          <w:u w:val="single"/>
        </w:rPr>
      </w:pPr>
      <w:r w:rsidRPr="002569C5">
        <w:t xml:space="preserve">For travel to field sites by car, one person per vehicle is recommended. Avoid public transportation.  </w:t>
      </w:r>
    </w:p>
    <w:p w14:paraId="62A48F1D" w14:textId="33C58E1C" w:rsidR="002824C5" w:rsidRPr="002569C5" w:rsidRDefault="002824C5" w:rsidP="00BC4654">
      <w:pPr>
        <w:pStyle w:val="ListParagraph"/>
        <w:numPr>
          <w:ilvl w:val="0"/>
          <w:numId w:val="43"/>
        </w:numPr>
        <w:ind w:left="1080"/>
      </w:pPr>
      <w:r w:rsidRPr="002569C5">
        <w:t>For overnight sta</w:t>
      </w:r>
      <w:r w:rsidR="00A3398E">
        <w:t>y</w:t>
      </w:r>
      <w:r w:rsidRPr="002569C5">
        <w:t>s, one person per room (lodging/accommodation/campsite)</w:t>
      </w:r>
      <w:r w:rsidR="0098787D">
        <w:t xml:space="preserve"> </w:t>
      </w:r>
      <w:r w:rsidR="0098787D" w:rsidRPr="002569C5">
        <w:t xml:space="preserve">is </w:t>
      </w:r>
      <w:r w:rsidR="0098787D">
        <w:t xml:space="preserve">highly </w:t>
      </w:r>
      <w:r w:rsidR="0098787D" w:rsidRPr="002569C5">
        <w:t>recommended</w:t>
      </w:r>
      <w:r w:rsidRPr="002569C5">
        <w:t>.</w:t>
      </w:r>
    </w:p>
    <w:p w14:paraId="5E133DCD" w14:textId="2E451889" w:rsidR="002824C5" w:rsidRPr="002569C5" w:rsidRDefault="002824C5" w:rsidP="00BC4654">
      <w:pPr>
        <w:pStyle w:val="ListParagraph"/>
        <w:numPr>
          <w:ilvl w:val="0"/>
          <w:numId w:val="43"/>
        </w:numPr>
        <w:ind w:left="1080"/>
      </w:pPr>
      <w:r w:rsidRPr="002569C5">
        <w:t xml:space="preserve">Periodically assess conditions related to community spread, infections, </w:t>
      </w:r>
      <w:r w:rsidR="00166C0F">
        <w:t xml:space="preserve">and </w:t>
      </w:r>
      <w:r w:rsidRPr="002569C5">
        <w:t>hospitalizations, and adjust plans based on changing circumstances.</w:t>
      </w:r>
    </w:p>
    <w:p w14:paraId="10A6D6AF" w14:textId="77777777" w:rsidR="00A154F6" w:rsidRPr="002569C5" w:rsidRDefault="00A154F6" w:rsidP="00166C0F"/>
    <w:sectPr w:rsidR="00A154F6" w:rsidRPr="002569C5" w:rsidSect="008B4D7F">
      <w:footerReference w:type="default" r:id="rId19"/>
      <w:pgSz w:w="12240" w:h="15840"/>
      <w:pgMar w:top="1440" w:right="1440" w:bottom="1440" w:left="1440" w:header="720" w:footer="720" w:gutter="0"/>
      <w:cols w:space="720"/>
      <w:noEndnote/>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EF420" w16cex:dateUtc="2020-06-25T17:00:00Z"/>
  <w16cex:commentExtensible w16cex:durableId="229EC38F" w16cex:dateUtc="2020-06-25T13:32:00Z"/>
  <w16cex:commentExtensible w16cex:durableId="229ECAD3" w16cex:dateUtc="2020-06-25T14:03:00Z"/>
  <w16cex:commentExtensible w16cex:durableId="229EF4CE" w16cex:dateUtc="2020-06-25T17:02:00Z"/>
  <w16cex:commentExtensible w16cex:durableId="229EE832" w16cex:dateUtc="2020-06-25T16:09:00Z"/>
  <w16cex:commentExtensible w16cex:durableId="229EF2A7" w16cex:dateUtc="2020-06-25T16:53:00Z"/>
  <w16cex:commentExtensible w16cex:durableId="229EF2E3" w16cex:dateUtc="2020-06-25T16:54:00Z"/>
  <w16cex:commentExtensible w16cex:durableId="229EF624" w16cex:dateUtc="2020-06-25T17: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8561A" w14:textId="77777777" w:rsidR="002A127D" w:rsidRDefault="002A127D" w:rsidP="00166C0F">
      <w:r>
        <w:separator/>
      </w:r>
    </w:p>
  </w:endnote>
  <w:endnote w:type="continuationSeparator" w:id="0">
    <w:p w14:paraId="5469A1D3" w14:textId="77777777" w:rsidR="002A127D" w:rsidRDefault="002A127D" w:rsidP="0016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931376"/>
      <w:docPartObj>
        <w:docPartGallery w:val="Page Numbers (Bottom of Page)"/>
        <w:docPartUnique/>
      </w:docPartObj>
    </w:sdtPr>
    <w:sdtEndPr>
      <w:rPr>
        <w:noProof/>
      </w:rPr>
    </w:sdtEndPr>
    <w:sdtContent>
      <w:p w14:paraId="5DAFB6B8" w14:textId="1820575B" w:rsidR="00DD0305" w:rsidRDefault="00DD0305">
        <w:pPr>
          <w:pStyle w:val="Footer"/>
          <w:jc w:val="right"/>
        </w:pPr>
        <w:r>
          <w:fldChar w:fldCharType="begin"/>
        </w:r>
        <w:r>
          <w:instrText xml:space="preserve"> PAGE   \* MERGEFORMAT </w:instrText>
        </w:r>
        <w:r>
          <w:fldChar w:fldCharType="separate"/>
        </w:r>
        <w:r w:rsidR="00C81F80">
          <w:rPr>
            <w:noProof/>
          </w:rPr>
          <w:t>4</w:t>
        </w:r>
        <w:r>
          <w:rPr>
            <w:noProof/>
          </w:rPr>
          <w:fldChar w:fldCharType="end"/>
        </w:r>
      </w:p>
    </w:sdtContent>
  </w:sdt>
  <w:p w14:paraId="6BFF55C9" w14:textId="77777777" w:rsidR="00DD0305" w:rsidRDefault="00DD0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D215D" w14:textId="77777777" w:rsidR="002A127D" w:rsidRDefault="002A127D" w:rsidP="00166C0F">
      <w:r>
        <w:separator/>
      </w:r>
    </w:p>
  </w:footnote>
  <w:footnote w:type="continuationSeparator" w:id="0">
    <w:p w14:paraId="06E8872E" w14:textId="77777777" w:rsidR="002A127D" w:rsidRDefault="002A127D" w:rsidP="00166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813"/>
    <w:multiLevelType w:val="multilevel"/>
    <w:tmpl w:val="6FA8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86DA3"/>
    <w:multiLevelType w:val="hybridMultilevel"/>
    <w:tmpl w:val="11262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B36D9"/>
    <w:multiLevelType w:val="multilevel"/>
    <w:tmpl w:val="B8EA8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825F2E"/>
    <w:multiLevelType w:val="hybridMultilevel"/>
    <w:tmpl w:val="6C789DA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B03BE"/>
    <w:multiLevelType w:val="hybridMultilevel"/>
    <w:tmpl w:val="5F6E80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77276"/>
    <w:multiLevelType w:val="hybridMultilevel"/>
    <w:tmpl w:val="9704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B6EF4"/>
    <w:multiLevelType w:val="hybridMultilevel"/>
    <w:tmpl w:val="A5C4C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424CD"/>
    <w:multiLevelType w:val="multilevel"/>
    <w:tmpl w:val="E0222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E34F33"/>
    <w:multiLevelType w:val="multilevel"/>
    <w:tmpl w:val="1E0623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702CD2"/>
    <w:multiLevelType w:val="multilevel"/>
    <w:tmpl w:val="58BEEB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8F0912"/>
    <w:multiLevelType w:val="hybridMultilevel"/>
    <w:tmpl w:val="20A833F8"/>
    <w:lvl w:ilvl="0" w:tplc="23F009E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F7B77"/>
    <w:multiLevelType w:val="hybridMultilevel"/>
    <w:tmpl w:val="99780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535F1"/>
    <w:multiLevelType w:val="multilevel"/>
    <w:tmpl w:val="951253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A72907"/>
    <w:multiLevelType w:val="hybridMultilevel"/>
    <w:tmpl w:val="45B4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06EE9"/>
    <w:multiLevelType w:val="hybridMultilevel"/>
    <w:tmpl w:val="658407C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A2454"/>
    <w:multiLevelType w:val="hybridMultilevel"/>
    <w:tmpl w:val="E67EF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0561D55"/>
    <w:multiLevelType w:val="hybridMultilevel"/>
    <w:tmpl w:val="42C87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533F5"/>
    <w:multiLevelType w:val="multilevel"/>
    <w:tmpl w:val="0F6C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4F0898"/>
    <w:multiLevelType w:val="hybridMultilevel"/>
    <w:tmpl w:val="D9F0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60416"/>
    <w:multiLevelType w:val="multilevel"/>
    <w:tmpl w:val="D48CB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5B28DE"/>
    <w:multiLevelType w:val="multilevel"/>
    <w:tmpl w:val="EA509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B80317"/>
    <w:multiLevelType w:val="multilevel"/>
    <w:tmpl w:val="7AFC73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B55AF2"/>
    <w:multiLevelType w:val="hybridMultilevel"/>
    <w:tmpl w:val="63F6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23BC7"/>
    <w:multiLevelType w:val="hybridMultilevel"/>
    <w:tmpl w:val="FA262A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0A1D9D"/>
    <w:multiLevelType w:val="hybridMultilevel"/>
    <w:tmpl w:val="A06CBE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EA28C4"/>
    <w:multiLevelType w:val="hybridMultilevel"/>
    <w:tmpl w:val="3974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F40B0"/>
    <w:multiLevelType w:val="multilevel"/>
    <w:tmpl w:val="E036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2A4ED5"/>
    <w:multiLevelType w:val="multilevel"/>
    <w:tmpl w:val="037E6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1A3811"/>
    <w:multiLevelType w:val="hybridMultilevel"/>
    <w:tmpl w:val="644AF582"/>
    <w:lvl w:ilvl="0" w:tplc="A9C8F32E">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EA3063"/>
    <w:multiLevelType w:val="hybridMultilevel"/>
    <w:tmpl w:val="EDCC6054"/>
    <w:lvl w:ilvl="0" w:tplc="A9C8F32E">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94A3E"/>
    <w:multiLevelType w:val="hybridMultilevel"/>
    <w:tmpl w:val="E4D8E22A"/>
    <w:lvl w:ilvl="0" w:tplc="A9C8F32E">
      <w:start w:val="3"/>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C28FF"/>
    <w:multiLevelType w:val="hybridMultilevel"/>
    <w:tmpl w:val="42C87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A654CC"/>
    <w:multiLevelType w:val="multilevel"/>
    <w:tmpl w:val="DC5AF2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2D738E"/>
    <w:multiLevelType w:val="multilevel"/>
    <w:tmpl w:val="A0123A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EB6B97"/>
    <w:multiLevelType w:val="hybridMultilevel"/>
    <w:tmpl w:val="AA0C3E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E3A6F"/>
    <w:multiLevelType w:val="multilevel"/>
    <w:tmpl w:val="7AFC73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7F395B"/>
    <w:multiLevelType w:val="hybridMultilevel"/>
    <w:tmpl w:val="3724D3CC"/>
    <w:lvl w:ilvl="0" w:tplc="A9C8F32E">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25A83"/>
    <w:multiLevelType w:val="hybridMultilevel"/>
    <w:tmpl w:val="3AB0E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9B4AD0"/>
    <w:multiLevelType w:val="hybridMultilevel"/>
    <w:tmpl w:val="8378FB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E61187"/>
    <w:multiLevelType w:val="hybridMultilevel"/>
    <w:tmpl w:val="504AB1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2B74AE"/>
    <w:multiLevelType w:val="hybridMultilevel"/>
    <w:tmpl w:val="15F6D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6B1302"/>
    <w:multiLevelType w:val="multilevel"/>
    <w:tmpl w:val="D568AE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0E3382"/>
    <w:multiLevelType w:val="hybridMultilevel"/>
    <w:tmpl w:val="A06CBE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A14BF8"/>
    <w:multiLevelType w:val="hybridMultilevel"/>
    <w:tmpl w:val="4432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FA3BDD"/>
    <w:multiLevelType w:val="multilevel"/>
    <w:tmpl w:val="951253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48380D"/>
    <w:multiLevelType w:val="hybridMultilevel"/>
    <w:tmpl w:val="C10A3E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1"/>
  </w:num>
  <w:num w:numId="3">
    <w:abstractNumId w:val="29"/>
  </w:num>
  <w:num w:numId="4">
    <w:abstractNumId w:val="30"/>
  </w:num>
  <w:num w:numId="5">
    <w:abstractNumId w:val="28"/>
  </w:num>
  <w:num w:numId="6">
    <w:abstractNumId w:val="38"/>
  </w:num>
  <w:num w:numId="7">
    <w:abstractNumId w:val="7"/>
  </w:num>
  <w:num w:numId="8">
    <w:abstractNumId w:val="17"/>
  </w:num>
  <w:num w:numId="9">
    <w:abstractNumId w:val="21"/>
  </w:num>
  <w:num w:numId="10">
    <w:abstractNumId w:val="35"/>
  </w:num>
  <w:num w:numId="11">
    <w:abstractNumId w:val="27"/>
  </w:num>
  <w:num w:numId="12">
    <w:abstractNumId w:val="41"/>
  </w:num>
  <w:num w:numId="13">
    <w:abstractNumId w:val="44"/>
  </w:num>
  <w:num w:numId="14">
    <w:abstractNumId w:val="12"/>
  </w:num>
  <w:num w:numId="15">
    <w:abstractNumId w:val="8"/>
  </w:num>
  <w:num w:numId="16">
    <w:abstractNumId w:val="16"/>
  </w:num>
  <w:num w:numId="17">
    <w:abstractNumId w:val="6"/>
  </w:num>
  <w:num w:numId="18">
    <w:abstractNumId w:val="24"/>
  </w:num>
  <w:num w:numId="19">
    <w:abstractNumId w:val="42"/>
  </w:num>
  <w:num w:numId="20">
    <w:abstractNumId w:val="32"/>
  </w:num>
  <w:num w:numId="21">
    <w:abstractNumId w:val="9"/>
  </w:num>
  <w:num w:numId="22">
    <w:abstractNumId w:val="2"/>
  </w:num>
  <w:num w:numId="23">
    <w:abstractNumId w:val="19"/>
  </w:num>
  <w:num w:numId="24">
    <w:abstractNumId w:val="20"/>
  </w:num>
  <w:num w:numId="25">
    <w:abstractNumId w:val="26"/>
  </w:num>
  <w:num w:numId="26">
    <w:abstractNumId w:val="33"/>
  </w:num>
  <w:num w:numId="27">
    <w:abstractNumId w:val="0"/>
  </w:num>
  <w:num w:numId="28">
    <w:abstractNumId w:val="1"/>
  </w:num>
  <w:num w:numId="29">
    <w:abstractNumId w:val="14"/>
  </w:num>
  <w:num w:numId="30">
    <w:abstractNumId w:val="36"/>
  </w:num>
  <w:num w:numId="31">
    <w:abstractNumId w:val="10"/>
  </w:num>
  <w:num w:numId="32">
    <w:abstractNumId w:val="31"/>
  </w:num>
  <w:num w:numId="33">
    <w:abstractNumId w:val="22"/>
  </w:num>
  <w:num w:numId="34">
    <w:abstractNumId w:val="25"/>
  </w:num>
  <w:num w:numId="35">
    <w:abstractNumId w:val="13"/>
  </w:num>
  <w:num w:numId="36">
    <w:abstractNumId w:val="18"/>
  </w:num>
  <w:num w:numId="37">
    <w:abstractNumId w:val="43"/>
  </w:num>
  <w:num w:numId="38">
    <w:abstractNumId w:val="5"/>
  </w:num>
  <w:num w:numId="39">
    <w:abstractNumId w:val="37"/>
  </w:num>
  <w:num w:numId="40">
    <w:abstractNumId w:val="45"/>
  </w:num>
  <w:num w:numId="41">
    <w:abstractNumId w:val="15"/>
  </w:num>
  <w:num w:numId="42">
    <w:abstractNumId w:val="34"/>
  </w:num>
  <w:num w:numId="43">
    <w:abstractNumId w:val="4"/>
  </w:num>
  <w:num w:numId="44">
    <w:abstractNumId w:val="3"/>
  </w:num>
  <w:num w:numId="45">
    <w:abstractNumId w:val="39"/>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767"/>
    <w:rsid w:val="00000CD7"/>
    <w:rsid w:val="000046A3"/>
    <w:rsid w:val="00011434"/>
    <w:rsid w:val="00024B76"/>
    <w:rsid w:val="0003352D"/>
    <w:rsid w:val="0003719F"/>
    <w:rsid w:val="000420AB"/>
    <w:rsid w:val="00070BB0"/>
    <w:rsid w:val="000813E6"/>
    <w:rsid w:val="000855AC"/>
    <w:rsid w:val="00085B3E"/>
    <w:rsid w:val="000A426B"/>
    <w:rsid w:val="000A5301"/>
    <w:rsid w:val="000C54D5"/>
    <w:rsid w:val="00153F0B"/>
    <w:rsid w:val="00166C0F"/>
    <w:rsid w:val="0016731F"/>
    <w:rsid w:val="00196F45"/>
    <w:rsid w:val="001A72F0"/>
    <w:rsid w:val="00227B85"/>
    <w:rsid w:val="00245CC0"/>
    <w:rsid w:val="00250DE5"/>
    <w:rsid w:val="002569C5"/>
    <w:rsid w:val="00257F22"/>
    <w:rsid w:val="00274C02"/>
    <w:rsid w:val="002824C5"/>
    <w:rsid w:val="002A127D"/>
    <w:rsid w:val="002A4EAB"/>
    <w:rsid w:val="002A528E"/>
    <w:rsid w:val="002B17EE"/>
    <w:rsid w:val="002B6FAF"/>
    <w:rsid w:val="002B7E3F"/>
    <w:rsid w:val="002F409E"/>
    <w:rsid w:val="00325333"/>
    <w:rsid w:val="0035175F"/>
    <w:rsid w:val="00396C47"/>
    <w:rsid w:val="003B3760"/>
    <w:rsid w:val="003C01F9"/>
    <w:rsid w:val="003C667F"/>
    <w:rsid w:val="003D50FE"/>
    <w:rsid w:val="003F696E"/>
    <w:rsid w:val="00461935"/>
    <w:rsid w:val="004656B3"/>
    <w:rsid w:val="004B142D"/>
    <w:rsid w:val="004C6767"/>
    <w:rsid w:val="004D5B26"/>
    <w:rsid w:val="004E7EBD"/>
    <w:rsid w:val="00507C2C"/>
    <w:rsid w:val="00534CB8"/>
    <w:rsid w:val="00556747"/>
    <w:rsid w:val="005604A3"/>
    <w:rsid w:val="005A4A69"/>
    <w:rsid w:val="005B2470"/>
    <w:rsid w:val="005C3426"/>
    <w:rsid w:val="005D4E76"/>
    <w:rsid w:val="0061058E"/>
    <w:rsid w:val="006122BF"/>
    <w:rsid w:val="006253E4"/>
    <w:rsid w:val="00630791"/>
    <w:rsid w:val="00631E71"/>
    <w:rsid w:val="00687E5C"/>
    <w:rsid w:val="006A5C13"/>
    <w:rsid w:val="006D5167"/>
    <w:rsid w:val="006E496D"/>
    <w:rsid w:val="006E5CC5"/>
    <w:rsid w:val="00706493"/>
    <w:rsid w:val="00711663"/>
    <w:rsid w:val="0073323B"/>
    <w:rsid w:val="00743CE9"/>
    <w:rsid w:val="00767B46"/>
    <w:rsid w:val="00780DD4"/>
    <w:rsid w:val="007A249E"/>
    <w:rsid w:val="007C6388"/>
    <w:rsid w:val="007E0C41"/>
    <w:rsid w:val="007F4F23"/>
    <w:rsid w:val="007F6177"/>
    <w:rsid w:val="008027E8"/>
    <w:rsid w:val="00806C9F"/>
    <w:rsid w:val="0089348A"/>
    <w:rsid w:val="008A171B"/>
    <w:rsid w:val="008A67B6"/>
    <w:rsid w:val="008A7CB9"/>
    <w:rsid w:val="008B04E2"/>
    <w:rsid w:val="008B3564"/>
    <w:rsid w:val="008B4D7F"/>
    <w:rsid w:val="008B7AA2"/>
    <w:rsid w:val="008D307F"/>
    <w:rsid w:val="0090110E"/>
    <w:rsid w:val="0090335B"/>
    <w:rsid w:val="00916A83"/>
    <w:rsid w:val="00926876"/>
    <w:rsid w:val="009269D2"/>
    <w:rsid w:val="00931B1E"/>
    <w:rsid w:val="00945A9C"/>
    <w:rsid w:val="00967772"/>
    <w:rsid w:val="00980E34"/>
    <w:rsid w:val="0098787D"/>
    <w:rsid w:val="00996F6D"/>
    <w:rsid w:val="009B62A3"/>
    <w:rsid w:val="009C5423"/>
    <w:rsid w:val="009E5BCA"/>
    <w:rsid w:val="009E64BA"/>
    <w:rsid w:val="009F6AD0"/>
    <w:rsid w:val="00A05B7A"/>
    <w:rsid w:val="00A142B3"/>
    <w:rsid w:val="00A154F6"/>
    <w:rsid w:val="00A3398E"/>
    <w:rsid w:val="00A4415D"/>
    <w:rsid w:val="00A46668"/>
    <w:rsid w:val="00A55898"/>
    <w:rsid w:val="00A571F1"/>
    <w:rsid w:val="00A72515"/>
    <w:rsid w:val="00A90939"/>
    <w:rsid w:val="00AE007E"/>
    <w:rsid w:val="00AF50F6"/>
    <w:rsid w:val="00B13EC5"/>
    <w:rsid w:val="00B2176B"/>
    <w:rsid w:val="00B33695"/>
    <w:rsid w:val="00B41E0E"/>
    <w:rsid w:val="00B77E3F"/>
    <w:rsid w:val="00BC4654"/>
    <w:rsid w:val="00BC716A"/>
    <w:rsid w:val="00BD286C"/>
    <w:rsid w:val="00BE5542"/>
    <w:rsid w:val="00BF3223"/>
    <w:rsid w:val="00BF38DA"/>
    <w:rsid w:val="00C1213F"/>
    <w:rsid w:val="00C21D3B"/>
    <w:rsid w:val="00C54EE1"/>
    <w:rsid w:val="00C6074E"/>
    <w:rsid w:val="00C7048F"/>
    <w:rsid w:val="00C81F80"/>
    <w:rsid w:val="00CB1817"/>
    <w:rsid w:val="00CE0FC8"/>
    <w:rsid w:val="00D0773C"/>
    <w:rsid w:val="00D1134A"/>
    <w:rsid w:val="00D151E2"/>
    <w:rsid w:val="00D22AD0"/>
    <w:rsid w:val="00D700EC"/>
    <w:rsid w:val="00D82EC0"/>
    <w:rsid w:val="00DC4C26"/>
    <w:rsid w:val="00DC7D2B"/>
    <w:rsid w:val="00DD0305"/>
    <w:rsid w:val="00DE6F76"/>
    <w:rsid w:val="00E102C7"/>
    <w:rsid w:val="00E21C58"/>
    <w:rsid w:val="00E34A7C"/>
    <w:rsid w:val="00E352BD"/>
    <w:rsid w:val="00E55242"/>
    <w:rsid w:val="00E833F0"/>
    <w:rsid w:val="00E90284"/>
    <w:rsid w:val="00E928E8"/>
    <w:rsid w:val="00E94F0C"/>
    <w:rsid w:val="00EC2761"/>
    <w:rsid w:val="00ED1567"/>
    <w:rsid w:val="00EE0AD0"/>
    <w:rsid w:val="00EE1338"/>
    <w:rsid w:val="00EF099E"/>
    <w:rsid w:val="00F532DB"/>
    <w:rsid w:val="00F53F95"/>
    <w:rsid w:val="00F6197F"/>
    <w:rsid w:val="00F72514"/>
    <w:rsid w:val="00F80FFF"/>
    <w:rsid w:val="00FB1658"/>
    <w:rsid w:val="00FC5CAD"/>
    <w:rsid w:val="00FD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1C0F2"/>
  <w15:chartTrackingRefBased/>
  <w15:docId w15:val="{3EDE2243-F91F-0F42-B67D-63E87512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C0F"/>
    <w:rPr>
      <w:rFonts w:ascii="Calibri" w:eastAsia="Times New Roman" w:hAnsi="Calibri" w:cs="Calibri"/>
      <w:sz w:val="22"/>
      <w:szCs w:val="22"/>
    </w:rPr>
  </w:style>
  <w:style w:type="paragraph" w:styleId="Heading1">
    <w:name w:val="heading 1"/>
    <w:basedOn w:val="Normal"/>
    <w:next w:val="Normal"/>
    <w:link w:val="Heading1Char"/>
    <w:uiPriority w:val="9"/>
    <w:qFormat/>
    <w:rsid w:val="00166C0F"/>
    <w:pPr>
      <w:outlineLvl w:val="0"/>
    </w:pPr>
    <w:rPr>
      <w:b/>
      <w:bCs/>
      <w:sz w:val="28"/>
      <w:szCs w:val="28"/>
    </w:rPr>
  </w:style>
  <w:style w:type="paragraph" w:styleId="Heading2">
    <w:name w:val="heading 2"/>
    <w:basedOn w:val="Normal"/>
    <w:next w:val="Normal"/>
    <w:link w:val="Heading2Char"/>
    <w:uiPriority w:val="9"/>
    <w:unhideWhenUsed/>
    <w:qFormat/>
    <w:rsid w:val="00166C0F"/>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767"/>
    <w:pPr>
      <w:ind w:left="720"/>
      <w:contextualSpacing/>
    </w:pPr>
  </w:style>
  <w:style w:type="character" w:styleId="Hyperlink">
    <w:name w:val="Hyperlink"/>
    <w:basedOn w:val="DefaultParagraphFont"/>
    <w:uiPriority w:val="99"/>
    <w:unhideWhenUsed/>
    <w:rsid w:val="004C6767"/>
    <w:rPr>
      <w:color w:val="0000FF"/>
      <w:u w:val="single"/>
    </w:rPr>
  </w:style>
  <w:style w:type="paragraph" w:customStyle="1" w:styleId="Default">
    <w:name w:val="Default"/>
    <w:rsid w:val="00967772"/>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E94F0C"/>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F50F6"/>
    <w:rPr>
      <w:sz w:val="16"/>
      <w:szCs w:val="16"/>
    </w:rPr>
  </w:style>
  <w:style w:type="paragraph" w:styleId="CommentText">
    <w:name w:val="annotation text"/>
    <w:basedOn w:val="Normal"/>
    <w:link w:val="CommentTextChar"/>
    <w:uiPriority w:val="99"/>
    <w:unhideWhenUsed/>
    <w:rsid w:val="00AF50F6"/>
    <w:rPr>
      <w:sz w:val="20"/>
      <w:szCs w:val="20"/>
    </w:rPr>
  </w:style>
  <w:style w:type="character" w:customStyle="1" w:styleId="CommentTextChar">
    <w:name w:val="Comment Text Char"/>
    <w:basedOn w:val="DefaultParagraphFont"/>
    <w:link w:val="CommentText"/>
    <w:uiPriority w:val="99"/>
    <w:rsid w:val="00AF50F6"/>
    <w:rPr>
      <w:sz w:val="20"/>
      <w:szCs w:val="20"/>
    </w:rPr>
  </w:style>
  <w:style w:type="paragraph" w:styleId="CommentSubject">
    <w:name w:val="annotation subject"/>
    <w:basedOn w:val="CommentText"/>
    <w:next w:val="CommentText"/>
    <w:link w:val="CommentSubjectChar"/>
    <w:uiPriority w:val="99"/>
    <w:semiHidden/>
    <w:unhideWhenUsed/>
    <w:rsid w:val="00AF50F6"/>
    <w:rPr>
      <w:b/>
      <w:bCs/>
    </w:rPr>
  </w:style>
  <w:style w:type="character" w:customStyle="1" w:styleId="CommentSubjectChar">
    <w:name w:val="Comment Subject Char"/>
    <w:basedOn w:val="CommentTextChar"/>
    <w:link w:val="CommentSubject"/>
    <w:uiPriority w:val="99"/>
    <w:semiHidden/>
    <w:rsid w:val="00AF50F6"/>
    <w:rPr>
      <w:b/>
      <w:bCs/>
      <w:sz w:val="20"/>
      <w:szCs w:val="20"/>
    </w:rPr>
  </w:style>
  <w:style w:type="paragraph" w:styleId="BalloonText">
    <w:name w:val="Balloon Text"/>
    <w:basedOn w:val="Normal"/>
    <w:link w:val="BalloonTextChar"/>
    <w:uiPriority w:val="99"/>
    <w:semiHidden/>
    <w:unhideWhenUsed/>
    <w:rsid w:val="00AF5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0F6"/>
    <w:rPr>
      <w:rFonts w:ascii="Segoe UI" w:hAnsi="Segoe UI" w:cs="Segoe UI"/>
      <w:sz w:val="18"/>
      <w:szCs w:val="18"/>
    </w:rPr>
  </w:style>
  <w:style w:type="table" w:styleId="TableGrid">
    <w:name w:val="Table Grid"/>
    <w:basedOn w:val="TableNormal"/>
    <w:uiPriority w:val="39"/>
    <w:rsid w:val="00EC2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16A83"/>
    <w:rPr>
      <w:color w:val="605E5C"/>
      <w:shd w:val="clear" w:color="auto" w:fill="E1DFDD"/>
    </w:rPr>
  </w:style>
  <w:style w:type="paragraph" w:styleId="Revision">
    <w:name w:val="Revision"/>
    <w:hidden/>
    <w:uiPriority w:val="99"/>
    <w:semiHidden/>
    <w:rsid w:val="00507C2C"/>
    <w:rPr>
      <w:sz w:val="22"/>
      <w:szCs w:val="22"/>
    </w:rPr>
  </w:style>
  <w:style w:type="character" w:styleId="Emphasis">
    <w:name w:val="Emphasis"/>
    <w:basedOn w:val="DefaultParagraphFont"/>
    <w:uiPriority w:val="20"/>
    <w:qFormat/>
    <w:rsid w:val="00507C2C"/>
    <w:rPr>
      <w:i/>
      <w:iCs/>
    </w:rPr>
  </w:style>
  <w:style w:type="character" w:styleId="FollowedHyperlink">
    <w:name w:val="FollowedHyperlink"/>
    <w:basedOn w:val="DefaultParagraphFont"/>
    <w:uiPriority w:val="99"/>
    <w:semiHidden/>
    <w:unhideWhenUsed/>
    <w:rsid w:val="00556747"/>
    <w:rPr>
      <w:color w:val="954F72" w:themeColor="followedHyperlink"/>
      <w:u w:val="single"/>
    </w:rPr>
  </w:style>
  <w:style w:type="paragraph" w:styleId="Header">
    <w:name w:val="header"/>
    <w:basedOn w:val="Normal"/>
    <w:link w:val="HeaderChar"/>
    <w:uiPriority w:val="99"/>
    <w:unhideWhenUsed/>
    <w:rsid w:val="002569C5"/>
    <w:pPr>
      <w:tabs>
        <w:tab w:val="center" w:pos="4680"/>
        <w:tab w:val="right" w:pos="9360"/>
      </w:tabs>
    </w:pPr>
  </w:style>
  <w:style w:type="character" w:customStyle="1" w:styleId="HeaderChar">
    <w:name w:val="Header Char"/>
    <w:basedOn w:val="DefaultParagraphFont"/>
    <w:link w:val="Header"/>
    <w:uiPriority w:val="99"/>
    <w:rsid w:val="002569C5"/>
    <w:rPr>
      <w:sz w:val="22"/>
      <w:szCs w:val="22"/>
    </w:rPr>
  </w:style>
  <w:style w:type="paragraph" w:styleId="Footer">
    <w:name w:val="footer"/>
    <w:basedOn w:val="Normal"/>
    <w:link w:val="FooterChar"/>
    <w:uiPriority w:val="99"/>
    <w:unhideWhenUsed/>
    <w:rsid w:val="002569C5"/>
    <w:pPr>
      <w:tabs>
        <w:tab w:val="center" w:pos="4680"/>
        <w:tab w:val="right" w:pos="9360"/>
      </w:tabs>
    </w:pPr>
  </w:style>
  <w:style w:type="character" w:customStyle="1" w:styleId="FooterChar">
    <w:name w:val="Footer Char"/>
    <w:basedOn w:val="DefaultParagraphFont"/>
    <w:link w:val="Footer"/>
    <w:uiPriority w:val="99"/>
    <w:rsid w:val="002569C5"/>
    <w:rPr>
      <w:sz w:val="22"/>
      <w:szCs w:val="22"/>
    </w:rPr>
  </w:style>
  <w:style w:type="character" w:customStyle="1" w:styleId="Heading1Char">
    <w:name w:val="Heading 1 Char"/>
    <w:basedOn w:val="DefaultParagraphFont"/>
    <w:link w:val="Heading1"/>
    <w:uiPriority w:val="9"/>
    <w:rsid w:val="00166C0F"/>
    <w:rPr>
      <w:rFonts w:ascii="Calibri" w:eastAsia="Times New Roman" w:hAnsi="Calibri" w:cs="Calibri"/>
      <w:b/>
      <w:bCs/>
      <w:sz w:val="28"/>
      <w:szCs w:val="28"/>
    </w:rPr>
  </w:style>
  <w:style w:type="character" w:customStyle="1" w:styleId="Heading2Char">
    <w:name w:val="Heading 2 Char"/>
    <w:basedOn w:val="DefaultParagraphFont"/>
    <w:link w:val="Heading2"/>
    <w:uiPriority w:val="9"/>
    <w:rsid w:val="00166C0F"/>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9904">
      <w:bodyDiv w:val="1"/>
      <w:marLeft w:val="0"/>
      <w:marRight w:val="0"/>
      <w:marTop w:val="0"/>
      <w:marBottom w:val="0"/>
      <w:divBdr>
        <w:top w:val="none" w:sz="0" w:space="0" w:color="auto"/>
        <w:left w:val="none" w:sz="0" w:space="0" w:color="auto"/>
        <w:bottom w:val="none" w:sz="0" w:space="0" w:color="auto"/>
        <w:right w:val="none" w:sz="0" w:space="0" w:color="auto"/>
      </w:divBdr>
    </w:div>
    <w:div w:id="688607844">
      <w:bodyDiv w:val="1"/>
      <w:marLeft w:val="0"/>
      <w:marRight w:val="0"/>
      <w:marTop w:val="0"/>
      <w:marBottom w:val="0"/>
      <w:divBdr>
        <w:top w:val="none" w:sz="0" w:space="0" w:color="auto"/>
        <w:left w:val="none" w:sz="0" w:space="0" w:color="auto"/>
        <w:bottom w:val="none" w:sz="0" w:space="0" w:color="auto"/>
        <w:right w:val="none" w:sz="0" w:space="0" w:color="auto"/>
      </w:divBdr>
    </w:div>
    <w:div w:id="913394210">
      <w:bodyDiv w:val="1"/>
      <w:marLeft w:val="0"/>
      <w:marRight w:val="0"/>
      <w:marTop w:val="0"/>
      <w:marBottom w:val="0"/>
      <w:divBdr>
        <w:top w:val="none" w:sz="0" w:space="0" w:color="auto"/>
        <w:left w:val="none" w:sz="0" w:space="0" w:color="auto"/>
        <w:bottom w:val="none" w:sz="0" w:space="0" w:color="auto"/>
        <w:right w:val="none" w:sz="0" w:space="0" w:color="auto"/>
      </w:divBdr>
      <w:divsChild>
        <w:div w:id="1571227820">
          <w:marLeft w:val="0"/>
          <w:marRight w:val="0"/>
          <w:marTop w:val="0"/>
          <w:marBottom w:val="0"/>
          <w:divBdr>
            <w:top w:val="none" w:sz="0" w:space="0" w:color="auto"/>
            <w:left w:val="none" w:sz="0" w:space="0" w:color="auto"/>
            <w:bottom w:val="none" w:sz="0" w:space="0" w:color="auto"/>
            <w:right w:val="none" w:sz="0" w:space="0" w:color="auto"/>
          </w:divBdr>
          <w:divsChild>
            <w:div w:id="1710763718">
              <w:marLeft w:val="0"/>
              <w:marRight w:val="0"/>
              <w:marTop w:val="0"/>
              <w:marBottom w:val="0"/>
              <w:divBdr>
                <w:top w:val="none" w:sz="0" w:space="0" w:color="auto"/>
                <w:left w:val="none" w:sz="0" w:space="0" w:color="auto"/>
                <w:bottom w:val="none" w:sz="0" w:space="0" w:color="auto"/>
                <w:right w:val="none" w:sz="0" w:space="0" w:color="auto"/>
              </w:divBdr>
              <w:divsChild>
                <w:div w:id="690230833">
                  <w:marLeft w:val="0"/>
                  <w:marRight w:val="0"/>
                  <w:marTop w:val="0"/>
                  <w:marBottom w:val="0"/>
                  <w:divBdr>
                    <w:top w:val="none" w:sz="0" w:space="0" w:color="auto"/>
                    <w:left w:val="none" w:sz="0" w:space="0" w:color="auto"/>
                    <w:bottom w:val="none" w:sz="0" w:space="0" w:color="auto"/>
                    <w:right w:val="none" w:sz="0" w:space="0" w:color="auto"/>
                  </w:divBdr>
                </w:div>
              </w:divsChild>
            </w:div>
            <w:div w:id="995650390">
              <w:marLeft w:val="0"/>
              <w:marRight w:val="0"/>
              <w:marTop w:val="0"/>
              <w:marBottom w:val="0"/>
              <w:divBdr>
                <w:top w:val="none" w:sz="0" w:space="0" w:color="auto"/>
                <w:left w:val="none" w:sz="0" w:space="0" w:color="auto"/>
                <w:bottom w:val="none" w:sz="0" w:space="0" w:color="auto"/>
                <w:right w:val="none" w:sz="0" w:space="0" w:color="auto"/>
              </w:divBdr>
              <w:divsChild>
                <w:div w:id="1896039002">
                  <w:marLeft w:val="0"/>
                  <w:marRight w:val="0"/>
                  <w:marTop w:val="0"/>
                  <w:marBottom w:val="0"/>
                  <w:divBdr>
                    <w:top w:val="none" w:sz="0" w:space="0" w:color="auto"/>
                    <w:left w:val="none" w:sz="0" w:space="0" w:color="auto"/>
                    <w:bottom w:val="none" w:sz="0" w:space="0" w:color="auto"/>
                    <w:right w:val="none" w:sz="0" w:space="0" w:color="auto"/>
                  </w:divBdr>
                </w:div>
                <w:div w:id="3288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3881">
          <w:marLeft w:val="0"/>
          <w:marRight w:val="0"/>
          <w:marTop w:val="0"/>
          <w:marBottom w:val="0"/>
          <w:divBdr>
            <w:top w:val="none" w:sz="0" w:space="0" w:color="auto"/>
            <w:left w:val="none" w:sz="0" w:space="0" w:color="auto"/>
            <w:bottom w:val="none" w:sz="0" w:space="0" w:color="auto"/>
            <w:right w:val="none" w:sz="0" w:space="0" w:color="auto"/>
          </w:divBdr>
          <w:divsChild>
            <w:div w:id="1347289738">
              <w:marLeft w:val="0"/>
              <w:marRight w:val="0"/>
              <w:marTop w:val="0"/>
              <w:marBottom w:val="0"/>
              <w:divBdr>
                <w:top w:val="none" w:sz="0" w:space="0" w:color="auto"/>
                <w:left w:val="none" w:sz="0" w:space="0" w:color="auto"/>
                <w:bottom w:val="none" w:sz="0" w:space="0" w:color="auto"/>
                <w:right w:val="none" w:sz="0" w:space="0" w:color="auto"/>
              </w:divBdr>
              <w:divsChild>
                <w:div w:id="707338601">
                  <w:marLeft w:val="0"/>
                  <w:marRight w:val="0"/>
                  <w:marTop w:val="0"/>
                  <w:marBottom w:val="0"/>
                  <w:divBdr>
                    <w:top w:val="none" w:sz="0" w:space="0" w:color="auto"/>
                    <w:left w:val="none" w:sz="0" w:space="0" w:color="auto"/>
                    <w:bottom w:val="none" w:sz="0" w:space="0" w:color="auto"/>
                    <w:right w:val="none" w:sz="0" w:space="0" w:color="auto"/>
                  </w:divBdr>
                </w:div>
              </w:divsChild>
            </w:div>
            <w:div w:id="1928616017">
              <w:marLeft w:val="0"/>
              <w:marRight w:val="0"/>
              <w:marTop w:val="0"/>
              <w:marBottom w:val="0"/>
              <w:divBdr>
                <w:top w:val="none" w:sz="0" w:space="0" w:color="auto"/>
                <w:left w:val="none" w:sz="0" w:space="0" w:color="auto"/>
                <w:bottom w:val="none" w:sz="0" w:space="0" w:color="auto"/>
                <w:right w:val="none" w:sz="0" w:space="0" w:color="auto"/>
              </w:divBdr>
              <w:divsChild>
                <w:div w:id="1681349687">
                  <w:marLeft w:val="0"/>
                  <w:marRight w:val="0"/>
                  <w:marTop w:val="0"/>
                  <w:marBottom w:val="0"/>
                  <w:divBdr>
                    <w:top w:val="none" w:sz="0" w:space="0" w:color="auto"/>
                    <w:left w:val="none" w:sz="0" w:space="0" w:color="auto"/>
                    <w:bottom w:val="none" w:sz="0" w:space="0" w:color="auto"/>
                    <w:right w:val="none" w:sz="0" w:space="0" w:color="auto"/>
                  </w:divBdr>
                </w:div>
                <w:div w:id="1274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9950">
          <w:marLeft w:val="0"/>
          <w:marRight w:val="0"/>
          <w:marTop w:val="0"/>
          <w:marBottom w:val="0"/>
          <w:divBdr>
            <w:top w:val="none" w:sz="0" w:space="0" w:color="auto"/>
            <w:left w:val="none" w:sz="0" w:space="0" w:color="auto"/>
            <w:bottom w:val="none" w:sz="0" w:space="0" w:color="auto"/>
            <w:right w:val="none" w:sz="0" w:space="0" w:color="auto"/>
          </w:divBdr>
          <w:divsChild>
            <w:div w:id="1198423225">
              <w:marLeft w:val="0"/>
              <w:marRight w:val="0"/>
              <w:marTop w:val="0"/>
              <w:marBottom w:val="0"/>
              <w:divBdr>
                <w:top w:val="none" w:sz="0" w:space="0" w:color="auto"/>
                <w:left w:val="none" w:sz="0" w:space="0" w:color="auto"/>
                <w:bottom w:val="none" w:sz="0" w:space="0" w:color="auto"/>
                <w:right w:val="none" w:sz="0" w:space="0" w:color="auto"/>
              </w:divBdr>
              <w:divsChild>
                <w:div w:id="1987972522">
                  <w:marLeft w:val="0"/>
                  <w:marRight w:val="0"/>
                  <w:marTop w:val="0"/>
                  <w:marBottom w:val="0"/>
                  <w:divBdr>
                    <w:top w:val="none" w:sz="0" w:space="0" w:color="auto"/>
                    <w:left w:val="none" w:sz="0" w:space="0" w:color="auto"/>
                    <w:bottom w:val="none" w:sz="0" w:space="0" w:color="auto"/>
                    <w:right w:val="none" w:sz="0" w:space="0" w:color="auto"/>
                  </w:divBdr>
                </w:div>
              </w:divsChild>
            </w:div>
            <w:div w:id="338511503">
              <w:marLeft w:val="0"/>
              <w:marRight w:val="0"/>
              <w:marTop w:val="0"/>
              <w:marBottom w:val="0"/>
              <w:divBdr>
                <w:top w:val="none" w:sz="0" w:space="0" w:color="auto"/>
                <w:left w:val="none" w:sz="0" w:space="0" w:color="auto"/>
                <w:bottom w:val="none" w:sz="0" w:space="0" w:color="auto"/>
                <w:right w:val="none" w:sz="0" w:space="0" w:color="auto"/>
              </w:divBdr>
              <w:divsChild>
                <w:div w:id="1911846276">
                  <w:marLeft w:val="0"/>
                  <w:marRight w:val="0"/>
                  <w:marTop w:val="0"/>
                  <w:marBottom w:val="0"/>
                  <w:divBdr>
                    <w:top w:val="none" w:sz="0" w:space="0" w:color="auto"/>
                    <w:left w:val="none" w:sz="0" w:space="0" w:color="auto"/>
                    <w:bottom w:val="none" w:sz="0" w:space="0" w:color="auto"/>
                    <w:right w:val="none" w:sz="0" w:space="0" w:color="auto"/>
                  </w:divBdr>
                </w:div>
                <w:div w:id="19144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48538">
          <w:marLeft w:val="0"/>
          <w:marRight w:val="0"/>
          <w:marTop w:val="0"/>
          <w:marBottom w:val="0"/>
          <w:divBdr>
            <w:top w:val="none" w:sz="0" w:space="0" w:color="auto"/>
            <w:left w:val="none" w:sz="0" w:space="0" w:color="auto"/>
            <w:bottom w:val="none" w:sz="0" w:space="0" w:color="auto"/>
            <w:right w:val="none" w:sz="0" w:space="0" w:color="auto"/>
          </w:divBdr>
          <w:divsChild>
            <w:div w:id="4942855">
              <w:marLeft w:val="0"/>
              <w:marRight w:val="0"/>
              <w:marTop w:val="0"/>
              <w:marBottom w:val="0"/>
              <w:divBdr>
                <w:top w:val="none" w:sz="0" w:space="0" w:color="auto"/>
                <w:left w:val="none" w:sz="0" w:space="0" w:color="auto"/>
                <w:bottom w:val="none" w:sz="0" w:space="0" w:color="auto"/>
                <w:right w:val="none" w:sz="0" w:space="0" w:color="auto"/>
              </w:divBdr>
              <w:divsChild>
                <w:div w:id="1345397912">
                  <w:marLeft w:val="0"/>
                  <w:marRight w:val="0"/>
                  <w:marTop w:val="0"/>
                  <w:marBottom w:val="0"/>
                  <w:divBdr>
                    <w:top w:val="none" w:sz="0" w:space="0" w:color="auto"/>
                    <w:left w:val="none" w:sz="0" w:space="0" w:color="auto"/>
                    <w:bottom w:val="none" w:sz="0" w:space="0" w:color="auto"/>
                    <w:right w:val="none" w:sz="0" w:space="0" w:color="auto"/>
                  </w:divBdr>
                </w:div>
              </w:divsChild>
            </w:div>
            <w:div w:id="319039360">
              <w:marLeft w:val="0"/>
              <w:marRight w:val="0"/>
              <w:marTop w:val="0"/>
              <w:marBottom w:val="0"/>
              <w:divBdr>
                <w:top w:val="none" w:sz="0" w:space="0" w:color="auto"/>
                <w:left w:val="none" w:sz="0" w:space="0" w:color="auto"/>
                <w:bottom w:val="none" w:sz="0" w:space="0" w:color="auto"/>
                <w:right w:val="none" w:sz="0" w:space="0" w:color="auto"/>
              </w:divBdr>
              <w:divsChild>
                <w:div w:id="1636251563">
                  <w:marLeft w:val="0"/>
                  <w:marRight w:val="0"/>
                  <w:marTop w:val="0"/>
                  <w:marBottom w:val="0"/>
                  <w:divBdr>
                    <w:top w:val="none" w:sz="0" w:space="0" w:color="auto"/>
                    <w:left w:val="none" w:sz="0" w:space="0" w:color="auto"/>
                    <w:bottom w:val="none" w:sz="0" w:space="0" w:color="auto"/>
                    <w:right w:val="none" w:sz="0" w:space="0" w:color="auto"/>
                  </w:divBdr>
                </w:div>
                <w:div w:id="8767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41417">
      <w:bodyDiv w:val="1"/>
      <w:marLeft w:val="0"/>
      <w:marRight w:val="0"/>
      <w:marTop w:val="0"/>
      <w:marBottom w:val="0"/>
      <w:divBdr>
        <w:top w:val="none" w:sz="0" w:space="0" w:color="auto"/>
        <w:left w:val="none" w:sz="0" w:space="0" w:color="auto"/>
        <w:bottom w:val="none" w:sz="0" w:space="0" w:color="auto"/>
        <w:right w:val="none" w:sz="0" w:space="0" w:color="auto"/>
      </w:divBdr>
    </w:div>
    <w:div w:id="1248265448">
      <w:bodyDiv w:val="1"/>
      <w:marLeft w:val="0"/>
      <w:marRight w:val="0"/>
      <w:marTop w:val="0"/>
      <w:marBottom w:val="0"/>
      <w:divBdr>
        <w:top w:val="none" w:sz="0" w:space="0" w:color="auto"/>
        <w:left w:val="none" w:sz="0" w:space="0" w:color="auto"/>
        <w:bottom w:val="none" w:sz="0" w:space="0" w:color="auto"/>
        <w:right w:val="none" w:sz="0" w:space="0" w:color="auto"/>
      </w:divBdr>
    </w:div>
    <w:div w:id="1648700088">
      <w:bodyDiv w:val="1"/>
      <w:marLeft w:val="0"/>
      <w:marRight w:val="0"/>
      <w:marTop w:val="0"/>
      <w:marBottom w:val="0"/>
      <w:divBdr>
        <w:top w:val="none" w:sz="0" w:space="0" w:color="auto"/>
        <w:left w:val="none" w:sz="0" w:space="0" w:color="auto"/>
        <w:bottom w:val="none" w:sz="0" w:space="0" w:color="auto"/>
        <w:right w:val="none" w:sz="0" w:space="0" w:color="auto"/>
      </w:divBdr>
      <w:divsChild>
        <w:div w:id="1957133213">
          <w:marLeft w:val="0"/>
          <w:marRight w:val="0"/>
          <w:marTop w:val="0"/>
          <w:marBottom w:val="0"/>
          <w:divBdr>
            <w:top w:val="none" w:sz="0" w:space="0" w:color="auto"/>
            <w:left w:val="none" w:sz="0" w:space="0" w:color="auto"/>
            <w:bottom w:val="none" w:sz="0" w:space="0" w:color="auto"/>
            <w:right w:val="none" w:sz="0" w:space="0" w:color="auto"/>
          </w:divBdr>
          <w:divsChild>
            <w:div w:id="2028286294">
              <w:marLeft w:val="0"/>
              <w:marRight w:val="0"/>
              <w:marTop w:val="0"/>
              <w:marBottom w:val="0"/>
              <w:divBdr>
                <w:top w:val="none" w:sz="0" w:space="0" w:color="auto"/>
                <w:left w:val="none" w:sz="0" w:space="0" w:color="auto"/>
                <w:bottom w:val="none" w:sz="0" w:space="0" w:color="auto"/>
                <w:right w:val="none" w:sz="0" w:space="0" w:color="auto"/>
              </w:divBdr>
              <w:divsChild>
                <w:div w:id="377512703">
                  <w:marLeft w:val="0"/>
                  <w:marRight w:val="0"/>
                  <w:marTop w:val="0"/>
                  <w:marBottom w:val="0"/>
                  <w:divBdr>
                    <w:top w:val="none" w:sz="0" w:space="0" w:color="auto"/>
                    <w:left w:val="none" w:sz="0" w:space="0" w:color="auto"/>
                    <w:bottom w:val="none" w:sz="0" w:space="0" w:color="auto"/>
                    <w:right w:val="none" w:sz="0" w:space="0" w:color="auto"/>
                  </w:divBdr>
                </w:div>
              </w:divsChild>
            </w:div>
            <w:div w:id="1449006935">
              <w:marLeft w:val="0"/>
              <w:marRight w:val="0"/>
              <w:marTop w:val="0"/>
              <w:marBottom w:val="0"/>
              <w:divBdr>
                <w:top w:val="none" w:sz="0" w:space="0" w:color="auto"/>
                <w:left w:val="none" w:sz="0" w:space="0" w:color="auto"/>
                <w:bottom w:val="none" w:sz="0" w:space="0" w:color="auto"/>
                <w:right w:val="none" w:sz="0" w:space="0" w:color="auto"/>
              </w:divBdr>
              <w:divsChild>
                <w:div w:id="10179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67">
          <w:marLeft w:val="0"/>
          <w:marRight w:val="0"/>
          <w:marTop w:val="0"/>
          <w:marBottom w:val="0"/>
          <w:divBdr>
            <w:top w:val="none" w:sz="0" w:space="0" w:color="auto"/>
            <w:left w:val="none" w:sz="0" w:space="0" w:color="auto"/>
            <w:bottom w:val="none" w:sz="0" w:space="0" w:color="auto"/>
            <w:right w:val="none" w:sz="0" w:space="0" w:color="auto"/>
          </w:divBdr>
          <w:divsChild>
            <w:div w:id="1763716055">
              <w:marLeft w:val="0"/>
              <w:marRight w:val="0"/>
              <w:marTop w:val="0"/>
              <w:marBottom w:val="0"/>
              <w:divBdr>
                <w:top w:val="none" w:sz="0" w:space="0" w:color="auto"/>
                <w:left w:val="none" w:sz="0" w:space="0" w:color="auto"/>
                <w:bottom w:val="none" w:sz="0" w:space="0" w:color="auto"/>
                <w:right w:val="none" w:sz="0" w:space="0" w:color="auto"/>
              </w:divBdr>
              <w:divsChild>
                <w:div w:id="1508400274">
                  <w:marLeft w:val="0"/>
                  <w:marRight w:val="0"/>
                  <w:marTop w:val="0"/>
                  <w:marBottom w:val="0"/>
                  <w:divBdr>
                    <w:top w:val="none" w:sz="0" w:space="0" w:color="auto"/>
                    <w:left w:val="none" w:sz="0" w:space="0" w:color="auto"/>
                    <w:bottom w:val="none" w:sz="0" w:space="0" w:color="auto"/>
                    <w:right w:val="none" w:sz="0" w:space="0" w:color="auto"/>
                  </w:divBdr>
                </w:div>
              </w:divsChild>
            </w:div>
            <w:div w:id="1385831079">
              <w:marLeft w:val="0"/>
              <w:marRight w:val="0"/>
              <w:marTop w:val="0"/>
              <w:marBottom w:val="0"/>
              <w:divBdr>
                <w:top w:val="none" w:sz="0" w:space="0" w:color="auto"/>
                <w:left w:val="none" w:sz="0" w:space="0" w:color="auto"/>
                <w:bottom w:val="none" w:sz="0" w:space="0" w:color="auto"/>
                <w:right w:val="none" w:sz="0" w:space="0" w:color="auto"/>
              </w:divBdr>
              <w:divsChild>
                <w:div w:id="20130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0572">
          <w:marLeft w:val="0"/>
          <w:marRight w:val="0"/>
          <w:marTop w:val="0"/>
          <w:marBottom w:val="0"/>
          <w:divBdr>
            <w:top w:val="none" w:sz="0" w:space="0" w:color="auto"/>
            <w:left w:val="none" w:sz="0" w:space="0" w:color="auto"/>
            <w:bottom w:val="none" w:sz="0" w:space="0" w:color="auto"/>
            <w:right w:val="none" w:sz="0" w:space="0" w:color="auto"/>
          </w:divBdr>
          <w:divsChild>
            <w:div w:id="813375491">
              <w:marLeft w:val="0"/>
              <w:marRight w:val="0"/>
              <w:marTop w:val="0"/>
              <w:marBottom w:val="0"/>
              <w:divBdr>
                <w:top w:val="none" w:sz="0" w:space="0" w:color="auto"/>
                <w:left w:val="none" w:sz="0" w:space="0" w:color="auto"/>
                <w:bottom w:val="none" w:sz="0" w:space="0" w:color="auto"/>
                <w:right w:val="none" w:sz="0" w:space="0" w:color="auto"/>
              </w:divBdr>
              <w:divsChild>
                <w:div w:id="566116454">
                  <w:marLeft w:val="0"/>
                  <w:marRight w:val="0"/>
                  <w:marTop w:val="0"/>
                  <w:marBottom w:val="0"/>
                  <w:divBdr>
                    <w:top w:val="none" w:sz="0" w:space="0" w:color="auto"/>
                    <w:left w:val="none" w:sz="0" w:space="0" w:color="auto"/>
                    <w:bottom w:val="none" w:sz="0" w:space="0" w:color="auto"/>
                    <w:right w:val="none" w:sz="0" w:space="0" w:color="auto"/>
                  </w:divBdr>
                </w:div>
              </w:divsChild>
            </w:div>
            <w:div w:id="1921674332">
              <w:marLeft w:val="0"/>
              <w:marRight w:val="0"/>
              <w:marTop w:val="0"/>
              <w:marBottom w:val="0"/>
              <w:divBdr>
                <w:top w:val="none" w:sz="0" w:space="0" w:color="auto"/>
                <w:left w:val="none" w:sz="0" w:space="0" w:color="auto"/>
                <w:bottom w:val="none" w:sz="0" w:space="0" w:color="auto"/>
                <w:right w:val="none" w:sz="0" w:space="0" w:color="auto"/>
              </w:divBdr>
              <w:divsChild>
                <w:div w:id="4121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50196">
      <w:bodyDiv w:val="1"/>
      <w:marLeft w:val="0"/>
      <w:marRight w:val="0"/>
      <w:marTop w:val="0"/>
      <w:marBottom w:val="0"/>
      <w:divBdr>
        <w:top w:val="none" w:sz="0" w:space="0" w:color="auto"/>
        <w:left w:val="none" w:sz="0" w:space="0" w:color="auto"/>
        <w:bottom w:val="none" w:sz="0" w:space="0" w:color="auto"/>
        <w:right w:val="none" w:sz="0" w:space="0" w:color="auto"/>
      </w:divBdr>
      <w:divsChild>
        <w:div w:id="1703826394">
          <w:marLeft w:val="0"/>
          <w:marRight w:val="0"/>
          <w:marTop w:val="0"/>
          <w:marBottom w:val="0"/>
          <w:divBdr>
            <w:top w:val="none" w:sz="0" w:space="0" w:color="auto"/>
            <w:left w:val="none" w:sz="0" w:space="0" w:color="auto"/>
            <w:bottom w:val="none" w:sz="0" w:space="0" w:color="auto"/>
            <w:right w:val="none" w:sz="0" w:space="0" w:color="auto"/>
          </w:divBdr>
          <w:divsChild>
            <w:div w:id="768044766">
              <w:marLeft w:val="0"/>
              <w:marRight w:val="0"/>
              <w:marTop w:val="0"/>
              <w:marBottom w:val="0"/>
              <w:divBdr>
                <w:top w:val="none" w:sz="0" w:space="0" w:color="auto"/>
                <w:left w:val="none" w:sz="0" w:space="0" w:color="auto"/>
                <w:bottom w:val="none" w:sz="0" w:space="0" w:color="auto"/>
                <w:right w:val="none" w:sz="0" w:space="0" w:color="auto"/>
              </w:divBdr>
              <w:divsChild>
                <w:div w:id="12368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3188">
      <w:bodyDiv w:val="1"/>
      <w:marLeft w:val="0"/>
      <w:marRight w:val="0"/>
      <w:marTop w:val="0"/>
      <w:marBottom w:val="0"/>
      <w:divBdr>
        <w:top w:val="none" w:sz="0" w:space="0" w:color="auto"/>
        <w:left w:val="none" w:sz="0" w:space="0" w:color="auto"/>
        <w:bottom w:val="none" w:sz="0" w:space="0" w:color="auto"/>
        <w:right w:val="none" w:sz="0" w:space="0" w:color="auto"/>
      </w:divBdr>
    </w:div>
    <w:div w:id="1796635902">
      <w:bodyDiv w:val="1"/>
      <w:marLeft w:val="0"/>
      <w:marRight w:val="0"/>
      <w:marTop w:val="0"/>
      <w:marBottom w:val="0"/>
      <w:divBdr>
        <w:top w:val="none" w:sz="0" w:space="0" w:color="auto"/>
        <w:left w:val="none" w:sz="0" w:space="0" w:color="auto"/>
        <w:bottom w:val="none" w:sz="0" w:space="0" w:color="auto"/>
        <w:right w:val="none" w:sz="0" w:space="0" w:color="auto"/>
      </w:divBdr>
      <w:divsChild>
        <w:div w:id="1470630085">
          <w:marLeft w:val="0"/>
          <w:marRight w:val="0"/>
          <w:marTop w:val="0"/>
          <w:marBottom w:val="0"/>
          <w:divBdr>
            <w:top w:val="none" w:sz="0" w:space="0" w:color="auto"/>
            <w:left w:val="none" w:sz="0" w:space="0" w:color="auto"/>
            <w:bottom w:val="none" w:sz="0" w:space="0" w:color="auto"/>
            <w:right w:val="none" w:sz="0" w:space="0" w:color="auto"/>
          </w:divBdr>
          <w:divsChild>
            <w:div w:id="1500923518">
              <w:marLeft w:val="0"/>
              <w:marRight w:val="0"/>
              <w:marTop w:val="0"/>
              <w:marBottom w:val="0"/>
              <w:divBdr>
                <w:top w:val="none" w:sz="0" w:space="0" w:color="auto"/>
                <w:left w:val="none" w:sz="0" w:space="0" w:color="auto"/>
                <w:bottom w:val="none" w:sz="0" w:space="0" w:color="auto"/>
                <w:right w:val="none" w:sz="0" w:space="0" w:color="auto"/>
              </w:divBdr>
              <w:divsChild>
                <w:div w:id="1531070304">
                  <w:marLeft w:val="0"/>
                  <w:marRight w:val="0"/>
                  <w:marTop w:val="0"/>
                  <w:marBottom w:val="0"/>
                  <w:divBdr>
                    <w:top w:val="none" w:sz="0" w:space="0" w:color="auto"/>
                    <w:left w:val="none" w:sz="0" w:space="0" w:color="auto"/>
                    <w:bottom w:val="none" w:sz="0" w:space="0" w:color="auto"/>
                    <w:right w:val="none" w:sz="0" w:space="0" w:color="auto"/>
                  </w:divBdr>
                </w:div>
              </w:divsChild>
            </w:div>
            <w:div w:id="1055735308">
              <w:marLeft w:val="0"/>
              <w:marRight w:val="0"/>
              <w:marTop w:val="0"/>
              <w:marBottom w:val="0"/>
              <w:divBdr>
                <w:top w:val="none" w:sz="0" w:space="0" w:color="auto"/>
                <w:left w:val="none" w:sz="0" w:space="0" w:color="auto"/>
                <w:bottom w:val="none" w:sz="0" w:space="0" w:color="auto"/>
                <w:right w:val="none" w:sz="0" w:space="0" w:color="auto"/>
              </w:divBdr>
              <w:divsChild>
                <w:div w:id="1675837783">
                  <w:marLeft w:val="0"/>
                  <w:marRight w:val="0"/>
                  <w:marTop w:val="0"/>
                  <w:marBottom w:val="0"/>
                  <w:divBdr>
                    <w:top w:val="none" w:sz="0" w:space="0" w:color="auto"/>
                    <w:left w:val="none" w:sz="0" w:space="0" w:color="auto"/>
                    <w:bottom w:val="none" w:sz="0" w:space="0" w:color="auto"/>
                    <w:right w:val="none" w:sz="0" w:space="0" w:color="auto"/>
                  </w:divBdr>
                </w:div>
              </w:divsChild>
            </w:div>
            <w:div w:id="1760519682">
              <w:marLeft w:val="0"/>
              <w:marRight w:val="0"/>
              <w:marTop w:val="0"/>
              <w:marBottom w:val="0"/>
              <w:divBdr>
                <w:top w:val="none" w:sz="0" w:space="0" w:color="auto"/>
                <w:left w:val="none" w:sz="0" w:space="0" w:color="auto"/>
                <w:bottom w:val="none" w:sz="0" w:space="0" w:color="auto"/>
                <w:right w:val="none" w:sz="0" w:space="0" w:color="auto"/>
              </w:divBdr>
              <w:divsChild>
                <w:div w:id="1570655750">
                  <w:marLeft w:val="0"/>
                  <w:marRight w:val="0"/>
                  <w:marTop w:val="0"/>
                  <w:marBottom w:val="0"/>
                  <w:divBdr>
                    <w:top w:val="none" w:sz="0" w:space="0" w:color="auto"/>
                    <w:left w:val="none" w:sz="0" w:space="0" w:color="auto"/>
                    <w:bottom w:val="none" w:sz="0" w:space="0" w:color="auto"/>
                    <w:right w:val="none" w:sz="0" w:space="0" w:color="auto"/>
                  </w:divBdr>
                </w:div>
              </w:divsChild>
            </w:div>
            <w:div w:id="1404065887">
              <w:marLeft w:val="0"/>
              <w:marRight w:val="0"/>
              <w:marTop w:val="0"/>
              <w:marBottom w:val="0"/>
              <w:divBdr>
                <w:top w:val="none" w:sz="0" w:space="0" w:color="auto"/>
                <w:left w:val="none" w:sz="0" w:space="0" w:color="auto"/>
                <w:bottom w:val="none" w:sz="0" w:space="0" w:color="auto"/>
                <w:right w:val="none" w:sz="0" w:space="0" w:color="auto"/>
              </w:divBdr>
              <w:divsChild>
                <w:div w:id="512454653">
                  <w:marLeft w:val="0"/>
                  <w:marRight w:val="0"/>
                  <w:marTop w:val="0"/>
                  <w:marBottom w:val="0"/>
                  <w:divBdr>
                    <w:top w:val="none" w:sz="0" w:space="0" w:color="auto"/>
                    <w:left w:val="none" w:sz="0" w:space="0" w:color="auto"/>
                    <w:bottom w:val="none" w:sz="0" w:space="0" w:color="auto"/>
                    <w:right w:val="none" w:sz="0" w:space="0" w:color="auto"/>
                  </w:divBdr>
                </w:div>
              </w:divsChild>
            </w:div>
            <w:div w:id="531187694">
              <w:marLeft w:val="0"/>
              <w:marRight w:val="0"/>
              <w:marTop w:val="0"/>
              <w:marBottom w:val="0"/>
              <w:divBdr>
                <w:top w:val="none" w:sz="0" w:space="0" w:color="auto"/>
                <w:left w:val="none" w:sz="0" w:space="0" w:color="auto"/>
                <w:bottom w:val="none" w:sz="0" w:space="0" w:color="auto"/>
                <w:right w:val="none" w:sz="0" w:space="0" w:color="auto"/>
              </w:divBdr>
              <w:divsChild>
                <w:div w:id="1595626576">
                  <w:marLeft w:val="0"/>
                  <w:marRight w:val="0"/>
                  <w:marTop w:val="0"/>
                  <w:marBottom w:val="0"/>
                  <w:divBdr>
                    <w:top w:val="none" w:sz="0" w:space="0" w:color="auto"/>
                    <w:left w:val="none" w:sz="0" w:space="0" w:color="auto"/>
                    <w:bottom w:val="none" w:sz="0" w:space="0" w:color="auto"/>
                    <w:right w:val="none" w:sz="0" w:space="0" w:color="auto"/>
                  </w:divBdr>
                </w:div>
              </w:divsChild>
            </w:div>
            <w:div w:id="1236282281">
              <w:marLeft w:val="0"/>
              <w:marRight w:val="0"/>
              <w:marTop w:val="0"/>
              <w:marBottom w:val="0"/>
              <w:divBdr>
                <w:top w:val="none" w:sz="0" w:space="0" w:color="auto"/>
                <w:left w:val="none" w:sz="0" w:space="0" w:color="auto"/>
                <w:bottom w:val="none" w:sz="0" w:space="0" w:color="auto"/>
                <w:right w:val="none" w:sz="0" w:space="0" w:color="auto"/>
              </w:divBdr>
              <w:divsChild>
                <w:div w:id="452402383">
                  <w:marLeft w:val="0"/>
                  <w:marRight w:val="0"/>
                  <w:marTop w:val="0"/>
                  <w:marBottom w:val="0"/>
                  <w:divBdr>
                    <w:top w:val="none" w:sz="0" w:space="0" w:color="auto"/>
                    <w:left w:val="none" w:sz="0" w:space="0" w:color="auto"/>
                    <w:bottom w:val="none" w:sz="0" w:space="0" w:color="auto"/>
                    <w:right w:val="none" w:sz="0" w:space="0" w:color="auto"/>
                  </w:divBdr>
                </w:div>
              </w:divsChild>
            </w:div>
            <w:div w:id="1569881767">
              <w:marLeft w:val="0"/>
              <w:marRight w:val="0"/>
              <w:marTop w:val="0"/>
              <w:marBottom w:val="0"/>
              <w:divBdr>
                <w:top w:val="none" w:sz="0" w:space="0" w:color="auto"/>
                <w:left w:val="none" w:sz="0" w:space="0" w:color="auto"/>
                <w:bottom w:val="none" w:sz="0" w:space="0" w:color="auto"/>
                <w:right w:val="none" w:sz="0" w:space="0" w:color="auto"/>
              </w:divBdr>
              <w:divsChild>
                <w:div w:id="403113550">
                  <w:marLeft w:val="0"/>
                  <w:marRight w:val="0"/>
                  <w:marTop w:val="0"/>
                  <w:marBottom w:val="0"/>
                  <w:divBdr>
                    <w:top w:val="none" w:sz="0" w:space="0" w:color="auto"/>
                    <w:left w:val="none" w:sz="0" w:space="0" w:color="auto"/>
                    <w:bottom w:val="none" w:sz="0" w:space="0" w:color="auto"/>
                    <w:right w:val="none" w:sz="0" w:space="0" w:color="auto"/>
                  </w:divBdr>
                </w:div>
              </w:divsChild>
            </w:div>
            <w:div w:id="814489888">
              <w:marLeft w:val="0"/>
              <w:marRight w:val="0"/>
              <w:marTop w:val="0"/>
              <w:marBottom w:val="0"/>
              <w:divBdr>
                <w:top w:val="none" w:sz="0" w:space="0" w:color="auto"/>
                <w:left w:val="none" w:sz="0" w:space="0" w:color="auto"/>
                <w:bottom w:val="none" w:sz="0" w:space="0" w:color="auto"/>
                <w:right w:val="none" w:sz="0" w:space="0" w:color="auto"/>
              </w:divBdr>
              <w:divsChild>
                <w:div w:id="50034384">
                  <w:marLeft w:val="0"/>
                  <w:marRight w:val="0"/>
                  <w:marTop w:val="0"/>
                  <w:marBottom w:val="0"/>
                  <w:divBdr>
                    <w:top w:val="none" w:sz="0" w:space="0" w:color="auto"/>
                    <w:left w:val="none" w:sz="0" w:space="0" w:color="auto"/>
                    <w:bottom w:val="none" w:sz="0" w:space="0" w:color="auto"/>
                    <w:right w:val="none" w:sz="0" w:space="0" w:color="auto"/>
                  </w:divBdr>
                </w:div>
              </w:divsChild>
            </w:div>
            <w:div w:id="435028547">
              <w:marLeft w:val="0"/>
              <w:marRight w:val="0"/>
              <w:marTop w:val="0"/>
              <w:marBottom w:val="0"/>
              <w:divBdr>
                <w:top w:val="none" w:sz="0" w:space="0" w:color="auto"/>
                <w:left w:val="none" w:sz="0" w:space="0" w:color="auto"/>
                <w:bottom w:val="none" w:sz="0" w:space="0" w:color="auto"/>
                <w:right w:val="none" w:sz="0" w:space="0" w:color="auto"/>
              </w:divBdr>
              <w:divsChild>
                <w:div w:id="1935701876">
                  <w:marLeft w:val="0"/>
                  <w:marRight w:val="0"/>
                  <w:marTop w:val="0"/>
                  <w:marBottom w:val="0"/>
                  <w:divBdr>
                    <w:top w:val="none" w:sz="0" w:space="0" w:color="auto"/>
                    <w:left w:val="none" w:sz="0" w:space="0" w:color="auto"/>
                    <w:bottom w:val="none" w:sz="0" w:space="0" w:color="auto"/>
                    <w:right w:val="none" w:sz="0" w:space="0" w:color="auto"/>
                  </w:divBdr>
                  <w:divsChild>
                    <w:div w:id="1471435177">
                      <w:marLeft w:val="0"/>
                      <w:marRight w:val="0"/>
                      <w:marTop w:val="0"/>
                      <w:marBottom w:val="0"/>
                      <w:divBdr>
                        <w:top w:val="none" w:sz="0" w:space="0" w:color="auto"/>
                        <w:left w:val="none" w:sz="0" w:space="0" w:color="auto"/>
                        <w:bottom w:val="none" w:sz="0" w:space="0" w:color="auto"/>
                        <w:right w:val="none" w:sz="0" w:space="0" w:color="auto"/>
                      </w:divBdr>
                    </w:div>
                  </w:divsChild>
                </w:div>
                <w:div w:id="593248621">
                  <w:marLeft w:val="0"/>
                  <w:marRight w:val="0"/>
                  <w:marTop w:val="0"/>
                  <w:marBottom w:val="0"/>
                  <w:divBdr>
                    <w:top w:val="none" w:sz="0" w:space="0" w:color="auto"/>
                    <w:left w:val="none" w:sz="0" w:space="0" w:color="auto"/>
                    <w:bottom w:val="none" w:sz="0" w:space="0" w:color="auto"/>
                    <w:right w:val="none" w:sz="0" w:space="0" w:color="auto"/>
                  </w:divBdr>
                  <w:divsChild>
                    <w:div w:id="953829332">
                      <w:marLeft w:val="0"/>
                      <w:marRight w:val="0"/>
                      <w:marTop w:val="0"/>
                      <w:marBottom w:val="0"/>
                      <w:divBdr>
                        <w:top w:val="none" w:sz="0" w:space="0" w:color="auto"/>
                        <w:left w:val="none" w:sz="0" w:space="0" w:color="auto"/>
                        <w:bottom w:val="none" w:sz="0" w:space="0" w:color="auto"/>
                        <w:right w:val="none" w:sz="0" w:space="0" w:color="auto"/>
                      </w:divBdr>
                    </w:div>
                  </w:divsChild>
                </w:div>
                <w:div w:id="283927190">
                  <w:marLeft w:val="0"/>
                  <w:marRight w:val="0"/>
                  <w:marTop w:val="0"/>
                  <w:marBottom w:val="0"/>
                  <w:divBdr>
                    <w:top w:val="none" w:sz="0" w:space="0" w:color="auto"/>
                    <w:left w:val="none" w:sz="0" w:space="0" w:color="auto"/>
                    <w:bottom w:val="none" w:sz="0" w:space="0" w:color="auto"/>
                    <w:right w:val="none" w:sz="0" w:space="0" w:color="auto"/>
                  </w:divBdr>
                  <w:divsChild>
                    <w:div w:id="337775751">
                      <w:marLeft w:val="0"/>
                      <w:marRight w:val="0"/>
                      <w:marTop w:val="0"/>
                      <w:marBottom w:val="0"/>
                      <w:divBdr>
                        <w:top w:val="none" w:sz="0" w:space="0" w:color="auto"/>
                        <w:left w:val="none" w:sz="0" w:space="0" w:color="auto"/>
                        <w:bottom w:val="none" w:sz="0" w:space="0" w:color="auto"/>
                        <w:right w:val="none" w:sz="0" w:space="0" w:color="auto"/>
                      </w:divBdr>
                    </w:div>
                  </w:divsChild>
                </w:div>
                <w:div w:id="85348188">
                  <w:marLeft w:val="0"/>
                  <w:marRight w:val="0"/>
                  <w:marTop w:val="0"/>
                  <w:marBottom w:val="0"/>
                  <w:divBdr>
                    <w:top w:val="none" w:sz="0" w:space="0" w:color="auto"/>
                    <w:left w:val="none" w:sz="0" w:space="0" w:color="auto"/>
                    <w:bottom w:val="none" w:sz="0" w:space="0" w:color="auto"/>
                    <w:right w:val="none" w:sz="0" w:space="0" w:color="auto"/>
                  </w:divBdr>
                  <w:divsChild>
                    <w:div w:id="7842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8768">
          <w:marLeft w:val="0"/>
          <w:marRight w:val="0"/>
          <w:marTop w:val="0"/>
          <w:marBottom w:val="0"/>
          <w:divBdr>
            <w:top w:val="none" w:sz="0" w:space="0" w:color="auto"/>
            <w:left w:val="none" w:sz="0" w:space="0" w:color="auto"/>
            <w:bottom w:val="none" w:sz="0" w:space="0" w:color="auto"/>
            <w:right w:val="none" w:sz="0" w:space="0" w:color="auto"/>
          </w:divBdr>
          <w:divsChild>
            <w:div w:id="317997288">
              <w:marLeft w:val="0"/>
              <w:marRight w:val="0"/>
              <w:marTop w:val="0"/>
              <w:marBottom w:val="0"/>
              <w:divBdr>
                <w:top w:val="none" w:sz="0" w:space="0" w:color="auto"/>
                <w:left w:val="none" w:sz="0" w:space="0" w:color="auto"/>
                <w:bottom w:val="none" w:sz="0" w:space="0" w:color="auto"/>
                <w:right w:val="none" w:sz="0" w:space="0" w:color="auto"/>
              </w:divBdr>
              <w:divsChild>
                <w:div w:id="21394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4146">
          <w:marLeft w:val="0"/>
          <w:marRight w:val="0"/>
          <w:marTop w:val="0"/>
          <w:marBottom w:val="0"/>
          <w:divBdr>
            <w:top w:val="none" w:sz="0" w:space="0" w:color="auto"/>
            <w:left w:val="none" w:sz="0" w:space="0" w:color="auto"/>
            <w:bottom w:val="none" w:sz="0" w:space="0" w:color="auto"/>
            <w:right w:val="none" w:sz="0" w:space="0" w:color="auto"/>
          </w:divBdr>
          <w:divsChild>
            <w:div w:id="1839924919">
              <w:marLeft w:val="0"/>
              <w:marRight w:val="0"/>
              <w:marTop w:val="0"/>
              <w:marBottom w:val="0"/>
              <w:divBdr>
                <w:top w:val="none" w:sz="0" w:space="0" w:color="auto"/>
                <w:left w:val="none" w:sz="0" w:space="0" w:color="auto"/>
                <w:bottom w:val="none" w:sz="0" w:space="0" w:color="auto"/>
                <w:right w:val="none" w:sz="0" w:space="0" w:color="auto"/>
              </w:divBdr>
              <w:divsChild>
                <w:div w:id="1594049143">
                  <w:marLeft w:val="0"/>
                  <w:marRight w:val="0"/>
                  <w:marTop w:val="0"/>
                  <w:marBottom w:val="0"/>
                  <w:divBdr>
                    <w:top w:val="none" w:sz="0" w:space="0" w:color="auto"/>
                    <w:left w:val="none" w:sz="0" w:space="0" w:color="auto"/>
                    <w:bottom w:val="none" w:sz="0" w:space="0" w:color="auto"/>
                    <w:right w:val="none" w:sz="0" w:space="0" w:color="auto"/>
                  </w:divBdr>
                </w:div>
              </w:divsChild>
            </w:div>
            <w:div w:id="422576764">
              <w:marLeft w:val="0"/>
              <w:marRight w:val="0"/>
              <w:marTop w:val="0"/>
              <w:marBottom w:val="0"/>
              <w:divBdr>
                <w:top w:val="none" w:sz="0" w:space="0" w:color="auto"/>
                <w:left w:val="none" w:sz="0" w:space="0" w:color="auto"/>
                <w:bottom w:val="none" w:sz="0" w:space="0" w:color="auto"/>
                <w:right w:val="none" w:sz="0" w:space="0" w:color="auto"/>
              </w:divBdr>
              <w:divsChild>
                <w:div w:id="593050785">
                  <w:marLeft w:val="0"/>
                  <w:marRight w:val="0"/>
                  <w:marTop w:val="0"/>
                  <w:marBottom w:val="0"/>
                  <w:divBdr>
                    <w:top w:val="none" w:sz="0" w:space="0" w:color="auto"/>
                    <w:left w:val="none" w:sz="0" w:space="0" w:color="auto"/>
                    <w:bottom w:val="none" w:sz="0" w:space="0" w:color="auto"/>
                    <w:right w:val="none" w:sz="0" w:space="0" w:color="auto"/>
                  </w:divBdr>
                </w:div>
              </w:divsChild>
            </w:div>
            <w:div w:id="1941833676">
              <w:marLeft w:val="0"/>
              <w:marRight w:val="0"/>
              <w:marTop w:val="0"/>
              <w:marBottom w:val="0"/>
              <w:divBdr>
                <w:top w:val="none" w:sz="0" w:space="0" w:color="auto"/>
                <w:left w:val="none" w:sz="0" w:space="0" w:color="auto"/>
                <w:bottom w:val="none" w:sz="0" w:space="0" w:color="auto"/>
                <w:right w:val="none" w:sz="0" w:space="0" w:color="auto"/>
              </w:divBdr>
              <w:divsChild>
                <w:div w:id="11889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arizona.edu/covid19/research-restart" TargetMode="External"/><Relationship Id="rId18" Type="http://schemas.openxmlformats.org/officeDocument/2006/relationships/hyperlink" Target="https://arizona.box.com/s/a5l3s9q9t12bogiswbnhxn2rrgcyg9uq"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search.arizona.edu/covid19/research-restart" TargetMode="External"/><Relationship Id="rId17" Type="http://schemas.openxmlformats.org/officeDocument/2006/relationships/hyperlink" Target="https://arizona.box.com/s/0izcf7v5dosiaw8c8xmqalwk9mjr3wfw" TargetMode="External"/><Relationship Id="rId2" Type="http://schemas.openxmlformats.org/officeDocument/2006/relationships/customXml" Target="../customXml/item2.xml"/><Relationship Id="rId16" Type="http://schemas.openxmlformats.org/officeDocument/2006/relationships/hyperlink" Target="https://rgw.arizona.edu/sites/default/files/what_is_human_research_-_v2019-07_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arizona.edu/covid19/research-restart" TargetMode="External"/><Relationship Id="rId5" Type="http://schemas.openxmlformats.org/officeDocument/2006/relationships/numbering" Target="numbering.xml"/><Relationship Id="rId15" Type="http://schemas.openxmlformats.org/officeDocument/2006/relationships/hyperlink" Target="https://www.ama-assn.org/delivering-care/health-equity/covid-19-health-equity-resources?gclid=CjwKCAjwltH3BRB6EiwAhj0IUGSjBLwIIum6exe5yJMXnsZOxrPQ3Rr8l_KFGnFmQfCS1XrLkRAEJxoCeRQQAvD_Bw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isk.arizona.edu/assumption-risk-and-release-agreements"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A18D0CE4BF7845A2F5145153742855" ma:contentTypeVersion="12" ma:contentTypeDescription="Create a new document." ma:contentTypeScope="" ma:versionID="2bdadbf65f0b0cc8ad0f716bac3673e8">
  <xsd:schema xmlns:xsd="http://www.w3.org/2001/XMLSchema" xmlns:xs="http://www.w3.org/2001/XMLSchema" xmlns:p="http://schemas.microsoft.com/office/2006/metadata/properties" xmlns:ns1="http://schemas.microsoft.com/sharepoint/v3" xmlns:ns3="54e13a16-a6d6-44bf-9185-ad2b98c6a07a" targetNamespace="http://schemas.microsoft.com/office/2006/metadata/properties" ma:root="true" ma:fieldsID="cc710fdbd5b72e941dbd9654f0805f8b" ns1:_="" ns3:_="">
    <xsd:import namespace="http://schemas.microsoft.com/sharepoint/v3"/>
    <xsd:import namespace="54e13a16-a6d6-44bf-9185-ad2b98c6a07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13a16-a6d6-44bf-9185-ad2b98c6a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D504B-F347-422D-A125-47E85B9AAB8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AA0DA23-7855-4714-9EBD-E7B56DFF1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e13a16-a6d6-44bf-9185-ad2b98c6a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F662C-E5D5-4733-9DF8-FE4152279B5D}">
  <ds:schemaRefs>
    <ds:schemaRef ds:uri="http://schemas.microsoft.com/sharepoint/v3/contenttype/forms"/>
  </ds:schemaRefs>
</ds:datastoreItem>
</file>

<file path=customXml/itemProps4.xml><?xml version="1.0" encoding="utf-8"?>
<ds:datastoreItem xmlns:ds="http://schemas.openxmlformats.org/officeDocument/2006/customXml" ds:itemID="{8876AD14-F429-9541-A45E-119BC0A3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Ann Schultz</dc:creator>
  <cp:keywords/>
  <dc:description/>
  <cp:lastModifiedBy>Lori Ann Schultz</cp:lastModifiedBy>
  <cp:revision>3</cp:revision>
  <cp:lastPrinted>2020-06-26T15:32:00Z</cp:lastPrinted>
  <dcterms:created xsi:type="dcterms:W3CDTF">2020-06-26T15:30:00Z</dcterms:created>
  <dcterms:modified xsi:type="dcterms:W3CDTF">2020-06-26T15:44:00Z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0x0101000BA18D0CE4BF7845A2F5145153742855</vt:lpwstr>
  </property>
</Properties>
</file>